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color w:val="000000" w:themeColor="text1"/>
          <w:sz w:val="44"/>
          <w:szCs w:val="44"/>
          <w:highlight w:val="none"/>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巢湖</w:t>
      </w:r>
      <w:r>
        <w:rPr>
          <w:rFonts w:ascii="Times New Roman" w:hAnsi="Times New Roman" w:eastAsia="方正小标宋简体"/>
          <w:color w:val="000000" w:themeColor="text1"/>
          <w:sz w:val="44"/>
          <w:szCs w:val="44"/>
          <w:highlight w:val="none"/>
          <w14:textFill>
            <w14:solidFill>
              <w14:schemeClr w14:val="tx1"/>
            </w14:solidFill>
          </w14:textFill>
        </w:rPr>
        <w:t>市</w:t>
      </w:r>
      <w:r>
        <w:rPr>
          <w:rFonts w:hint="eastAsia" w:ascii="Times New Roman" w:hAnsi="Times New Roman" w:eastAsia="方正小标宋简体"/>
          <w:color w:val="000000" w:themeColor="text1"/>
          <w:sz w:val="44"/>
          <w:szCs w:val="44"/>
          <w:highlight w:val="none"/>
          <w:lang w:eastAsia="zh-CN"/>
          <w14:textFill>
            <w14:solidFill>
              <w14:schemeClr w14:val="tx1"/>
            </w14:solidFill>
          </w14:textFill>
        </w:rPr>
        <w:t>人大办</w:t>
      </w:r>
      <w:r>
        <w:rPr>
          <w:rFonts w:hint="eastAsia" w:ascii="Times New Roman" w:hAnsi="Times New Roman" w:eastAsia="方正小标宋简体"/>
          <w:color w:val="000000" w:themeColor="text1"/>
          <w:sz w:val="44"/>
          <w:szCs w:val="44"/>
          <w:highlight w:val="none"/>
          <w14:textFill>
            <w14:solidFill>
              <w14:schemeClr w14:val="tx1"/>
            </w14:solidFill>
          </w14:textFill>
        </w:rPr>
        <w:t>2023年</w:t>
      </w:r>
      <w:r>
        <w:rPr>
          <w:rFonts w:ascii="Times New Roman" w:hAnsi="Times New Roman" w:eastAsia="方正小标宋简体"/>
          <w:color w:val="000000" w:themeColor="text1"/>
          <w:sz w:val="44"/>
          <w:szCs w:val="44"/>
          <w:highlight w:val="none"/>
          <w14:textFill>
            <w14:solidFill>
              <w14:schemeClr w14:val="tx1"/>
            </w14:solidFill>
          </w14:textFill>
        </w:rPr>
        <w:t>部门预算</w:t>
      </w:r>
    </w:p>
    <w:p>
      <w:pPr>
        <w:spacing w:line="44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440" w:lineRule="exact"/>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目    录</w:t>
      </w:r>
    </w:p>
    <w:p>
      <w:pPr>
        <w:spacing w:before="156" w:beforeLines="50"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第一部分</w:t>
      </w:r>
      <w:r>
        <w:rPr>
          <w:rFonts w:hint="eastAsia" w:ascii="Times New Roman" w:hAnsi="Times New Roman" w:eastAsia="仿宋_GB2312"/>
          <w:b/>
          <w:color w:val="000000" w:themeColor="text1"/>
          <w:sz w:val="32"/>
          <w:szCs w:val="32"/>
          <w14:textFill>
            <w14:solidFill>
              <w14:schemeClr w14:val="tx1"/>
            </w14:solidFill>
          </w14:textFill>
        </w:rPr>
        <w:t xml:space="preserve">  </w:t>
      </w:r>
      <w:r>
        <w:rPr>
          <w:rFonts w:ascii="Times New Roman" w:hAnsi="Times New Roman" w:eastAsia="仿宋_GB2312"/>
          <w:b/>
          <w:color w:val="000000" w:themeColor="text1"/>
          <w:sz w:val="32"/>
          <w:szCs w:val="32"/>
          <w14:textFill>
            <w14:solidFill>
              <w14:schemeClr w14:val="tx1"/>
            </w14:solidFill>
          </w14:textFill>
        </w:rPr>
        <w:t>部门概况</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1.部门职责</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2.部门预算单位构成</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度主要工作任务</w:t>
      </w:r>
    </w:p>
    <w:p>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第二部分</w:t>
      </w:r>
      <w:r>
        <w:rPr>
          <w:rFonts w:hint="eastAsia" w:ascii="Times New Roman" w:hAnsi="Times New Roman" w:eastAsia="仿宋_GB2312"/>
          <w:b/>
          <w:color w:val="000000" w:themeColor="text1"/>
          <w:sz w:val="32"/>
          <w:szCs w:val="32"/>
          <w14:textFill>
            <w14:solidFill>
              <w14:schemeClr w14:val="tx1"/>
            </w14:solidFill>
          </w14:textFill>
        </w:rPr>
        <w:t xml:space="preserve">  2023年</w:t>
      </w:r>
      <w:r>
        <w:rPr>
          <w:rFonts w:ascii="Times New Roman" w:hAnsi="Times New Roman" w:eastAsia="仿宋_GB2312"/>
          <w:b/>
          <w:color w:val="000000" w:themeColor="text1"/>
          <w:sz w:val="32"/>
          <w:szCs w:val="32"/>
          <w14:textFill>
            <w14:solidFill>
              <w14:schemeClr w14:val="tx1"/>
            </w14:solidFill>
          </w14:textFill>
        </w:rPr>
        <w:t>预算</w:t>
      </w:r>
      <w:r>
        <w:rPr>
          <w:rFonts w:hint="eastAsia" w:ascii="Times New Roman" w:hAnsi="Times New Roman" w:eastAsia="仿宋_GB2312"/>
          <w:b/>
          <w:color w:val="000000" w:themeColor="text1"/>
          <w:sz w:val="32"/>
          <w:szCs w:val="32"/>
          <w14:textFill>
            <w14:solidFill>
              <w14:schemeClr w14:val="tx1"/>
            </w14:solidFill>
          </w14:textFill>
        </w:rPr>
        <w:t>报</w:t>
      </w:r>
      <w:r>
        <w:rPr>
          <w:rFonts w:ascii="Times New Roman" w:hAnsi="Times New Roman" w:eastAsia="仿宋_GB2312"/>
          <w:b/>
          <w:color w:val="000000" w:themeColor="text1"/>
          <w:sz w:val="32"/>
          <w:szCs w:val="32"/>
          <w14:textFill>
            <w14:solidFill>
              <w14:schemeClr w14:val="tx1"/>
            </w14:solidFill>
          </w14:textFill>
        </w:rPr>
        <w:t>表</w:t>
      </w:r>
    </w:p>
    <w:p>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（一）部门预算表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收支总表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收入总表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支出总表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财政拨款收支总表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一般公共预算支出表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一般公共预算基本支出表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政府性基金预算支出表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国有资本经营预算支出表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9.巢湖市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基本支出总表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10.</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2023年项目</w:t>
      </w:r>
      <w:r>
        <w:rPr>
          <w:rFonts w:ascii="Times New Roman" w:hAnsi="Times New Roman" w:eastAsia="仿宋_GB2312"/>
          <w:color w:val="000000" w:themeColor="text1"/>
          <w:sz w:val="32"/>
          <w:szCs w:val="32"/>
          <w14:textFill>
            <w14:solidFill>
              <w14:schemeClr w14:val="tx1"/>
            </w14:solidFill>
          </w14:textFill>
        </w:rPr>
        <w:t>支出总表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政府采购支出表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政府购买服务支出表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项目支出绩效目标及项目情况表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“三公”经费支出预算表</w:t>
      </w:r>
    </w:p>
    <w:p>
      <w:pPr>
        <w:spacing w:line="560" w:lineRule="exact"/>
        <w:ind w:firstLine="565"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（二）对下转移支付预算表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15.</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2023年市本级对下转移支付预算汇总表</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.巢湖市</w:t>
      </w:r>
      <w:r>
        <w:rPr>
          <w:rFonts w:hint="eastAsia" w:ascii="Times New Roman" w:hAnsi="Times New Roman" w:eastAsia="仿宋_GB2312"/>
          <w:color w:val="000000" w:themeColor="text1"/>
          <w:sz w:val="32"/>
          <w:szCs w:val="32"/>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2023年市本级对下转移支付预算明细表</w:t>
      </w:r>
    </w:p>
    <w:p>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第三部分</w:t>
      </w:r>
      <w:r>
        <w:rPr>
          <w:rFonts w:hint="eastAsia" w:ascii="Times New Roman" w:hAnsi="Times New Roman" w:eastAsia="仿宋_GB2312"/>
          <w:b/>
          <w:color w:val="000000" w:themeColor="text1"/>
          <w:sz w:val="32"/>
          <w:szCs w:val="32"/>
          <w14:textFill>
            <w14:solidFill>
              <w14:schemeClr w14:val="tx1"/>
            </w14:solidFill>
          </w14:textFill>
        </w:rPr>
        <w:t xml:space="preserve">  2023年</w:t>
      </w:r>
      <w:r>
        <w:rPr>
          <w:rFonts w:ascii="Times New Roman" w:hAnsi="Times New Roman" w:eastAsia="仿宋_GB2312"/>
          <w:b/>
          <w:color w:val="000000" w:themeColor="text1"/>
          <w:sz w:val="32"/>
          <w:szCs w:val="32"/>
          <w14:textFill>
            <w14:solidFill>
              <w14:schemeClr w14:val="tx1"/>
            </w14:solidFill>
          </w14:textFill>
        </w:rPr>
        <w:t>部门预算情况说明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收支预算总体情况说明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收入预算情况说明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支出预算情况说明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财政拨款收支预算总体情况说明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一般公共预算拨款情况说明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一般公共预算基本支出情况说明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政府性基金预算拨款情况说明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国有资本经营预算拨款情况说明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9</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2023年项目支出预算</w:t>
      </w:r>
      <w:r>
        <w:rPr>
          <w:rFonts w:ascii="Times New Roman" w:hAnsi="Times New Roman" w:eastAsia="仿宋_GB2312"/>
          <w:color w:val="000000" w:themeColor="text1"/>
          <w:sz w:val="32"/>
          <w:szCs w:val="32"/>
          <w14:textFill>
            <w14:solidFill>
              <w14:schemeClr w14:val="tx1"/>
            </w14:solidFill>
          </w14:textFill>
        </w:rPr>
        <w:t>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10</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2023年政府采购预算</w:t>
      </w:r>
      <w:r>
        <w:rPr>
          <w:rFonts w:ascii="Times New Roman" w:hAnsi="Times New Roman" w:eastAsia="仿宋_GB2312"/>
          <w:color w:val="000000" w:themeColor="text1"/>
          <w:sz w:val="32"/>
          <w:szCs w:val="32"/>
          <w14:textFill>
            <w14:solidFill>
              <w14:schemeClr w14:val="tx1"/>
            </w14:solidFill>
          </w14:textFill>
        </w:rPr>
        <w:t>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11</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2023年政府购买服务预算</w:t>
      </w:r>
      <w:r>
        <w:rPr>
          <w:rFonts w:ascii="Times New Roman" w:hAnsi="Times New Roman" w:eastAsia="仿宋_GB2312"/>
          <w:color w:val="000000" w:themeColor="text1"/>
          <w:sz w:val="32"/>
          <w:szCs w:val="32"/>
          <w14:textFill>
            <w14:solidFill>
              <w14:schemeClr w14:val="tx1"/>
            </w14:solidFill>
          </w14:textFill>
        </w:rPr>
        <w:t>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12</w:t>
      </w:r>
      <w:r>
        <w:rPr>
          <w:rFonts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“三公”经费</w:t>
      </w:r>
      <w:r>
        <w:rPr>
          <w:rFonts w:hint="eastAsia" w:ascii="Times New Roman" w:hAnsi="Times New Roman" w:eastAsia="仿宋_GB2312"/>
          <w:color w:val="000000" w:themeColor="text1"/>
          <w:sz w:val="32"/>
          <w:szCs w:val="32"/>
          <w14:textFill>
            <w14:solidFill>
              <w14:schemeClr w14:val="tx1"/>
            </w14:solidFill>
          </w14:textFill>
        </w:rPr>
        <w:t>支出</w:t>
      </w:r>
      <w:r>
        <w:rPr>
          <w:rFonts w:ascii="Times New Roman" w:hAnsi="Times New Roman" w:eastAsia="仿宋_GB2312"/>
          <w:color w:val="000000" w:themeColor="text1"/>
          <w:sz w:val="32"/>
          <w:szCs w:val="32"/>
          <w14:textFill>
            <w14:solidFill>
              <w14:schemeClr w14:val="tx1"/>
            </w14:solidFill>
          </w14:textFill>
        </w:rPr>
        <w:t>预算情况说明</w:t>
      </w:r>
    </w:p>
    <w:p>
      <w:pPr>
        <w:spacing w:line="560" w:lineRule="exact"/>
        <w:ind w:firstLine="563" w:firstLineChars="176"/>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13</w:t>
      </w:r>
      <w:r>
        <w:rPr>
          <w:rFonts w:ascii="Times New Roman" w:hAnsi="Times New Roman" w:eastAsia="仿宋_GB2312"/>
          <w:color w:val="000000" w:themeColor="text1"/>
          <w:sz w:val="32"/>
          <w:szCs w:val="32"/>
          <w14:textFill>
            <w14:solidFill>
              <w14:schemeClr w14:val="tx1"/>
            </w14:solidFill>
          </w14:textFill>
        </w:rPr>
        <w:t>.其他重要事项情况说明</w:t>
      </w:r>
    </w:p>
    <w:p>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第四部分  2023年转移支付预算情况</w:t>
      </w:r>
      <w:r>
        <w:rPr>
          <w:rFonts w:ascii="Times New Roman" w:hAnsi="Times New Roman" w:eastAsia="仿宋_GB2312"/>
          <w:b/>
          <w:color w:val="000000" w:themeColor="text1"/>
          <w:sz w:val="32"/>
          <w:szCs w:val="32"/>
          <w14:textFill>
            <w14:solidFill>
              <w14:schemeClr w14:val="tx1"/>
            </w14:solidFill>
          </w14:textFill>
        </w:rPr>
        <w:t>说明</w:t>
      </w:r>
    </w:p>
    <w:p>
      <w:pPr>
        <w:spacing w:line="560" w:lineRule="exact"/>
        <w:ind w:firstLine="565" w:firstLineChars="176"/>
        <w:jc w:val="lef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w:t>
      </w:r>
      <w:r>
        <w:rPr>
          <w:rFonts w:hint="eastAsia" w:ascii="Times New Roman" w:hAnsi="Times New Roman" w:eastAsia="仿宋_GB2312"/>
          <w:b/>
          <w:color w:val="000000" w:themeColor="text1"/>
          <w:sz w:val="32"/>
          <w:szCs w:val="32"/>
          <w14:textFill>
            <w14:solidFill>
              <w14:schemeClr w14:val="tx1"/>
            </w14:solidFill>
          </w14:textFill>
        </w:rPr>
        <w:t>五</w:t>
      </w:r>
      <w:r>
        <w:rPr>
          <w:rFonts w:ascii="Times New Roman" w:hAnsi="Times New Roman" w:eastAsia="仿宋_GB2312"/>
          <w:b/>
          <w:color w:val="000000" w:themeColor="text1"/>
          <w:sz w:val="32"/>
          <w:szCs w:val="32"/>
          <w14:textFill>
            <w14:solidFill>
              <w14:schemeClr w14:val="tx1"/>
            </w14:solidFill>
          </w14:textFill>
        </w:rPr>
        <w:t>部分 名词解释</w:t>
      </w:r>
    </w:p>
    <w:p>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80" w:lineRule="exact"/>
        <w:jc w:val="center"/>
        <w:rPr>
          <w:rFonts w:ascii="Times New Roman" w:hAnsi="Times New Roman" w:eastAsia="方正小标宋简体"/>
          <w:color w:val="000000" w:themeColor="text1"/>
          <w:sz w:val="44"/>
          <w:szCs w:val="44"/>
          <w14:textFill>
            <w14:solidFill>
              <w14:schemeClr w14:val="tx1"/>
            </w14:solidFill>
          </w14:textFill>
        </w:rPr>
      </w:pPr>
    </w:p>
    <w:p>
      <w:pPr>
        <w:spacing w:line="580" w:lineRule="exact"/>
        <w:rPr>
          <w:rFonts w:ascii="Times New Roman" w:hAnsi="Times New Roman" w:eastAsia="方正小标宋简体"/>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巢湖市</w:t>
      </w:r>
      <w:r>
        <w:rPr>
          <w:rFonts w:hint="eastAsia" w:ascii="Times New Roman" w:hAnsi="Times New Roman" w:eastAsia="方正小标宋简体"/>
          <w:color w:val="000000" w:themeColor="text1"/>
          <w:sz w:val="44"/>
          <w:szCs w:val="44"/>
          <w:lang w:eastAsia="zh-CN"/>
          <w14:textFill>
            <w14:solidFill>
              <w14:schemeClr w14:val="tx1"/>
            </w14:solidFill>
          </w14:textFill>
        </w:rPr>
        <w:t>人大办</w:t>
      </w:r>
      <w:r>
        <w:rPr>
          <w:rFonts w:hint="eastAsia" w:ascii="Times New Roman" w:hAnsi="Times New Roman" w:eastAsia="方正小标宋简体"/>
          <w:color w:val="000000" w:themeColor="text1"/>
          <w:sz w:val="44"/>
          <w:szCs w:val="44"/>
          <w14:textFill>
            <w14:solidFill>
              <w14:schemeClr w14:val="tx1"/>
            </w14:solidFill>
          </w14:textFill>
        </w:rPr>
        <w:t>2023年</w:t>
      </w:r>
      <w:r>
        <w:rPr>
          <w:rFonts w:ascii="Times New Roman" w:hAnsi="Times New Roman" w:eastAsia="方正小标宋简体"/>
          <w:color w:val="000000" w:themeColor="text1"/>
          <w:sz w:val="44"/>
          <w:szCs w:val="44"/>
          <w14:textFill>
            <w14:solidFill>
              <w14:schemeClr w14:val="tx1"/>
            </w14:solidFill>
          </w14:textFill>
        </w:rPr>
        <w:t>部门预算</w:t>
      </w:r>
    </w:p>
    <w:p>
      <w:pPr>
        <w:spacing w:line="560" w:lineRule="exact"/>
        <w:rPr>
          <w:rFonts w:ascii="Times New Roman" w:hAnsi="Times New Roman" w:eastAsia="仿宋_GB2312"/>
          <w:color w:val="000000" w:themeColor="text1"/>
          <w:sz w:val="32"/>
          <w:szCs w:val="32"/>
          <w14:textFill>
            <w14:solidFill>
              <w14:schemeClr w14:val="tx1"/>
            </w14:solidFill>
          </w14:textFill>
        </w:rPr>
      </w:pPr>
    </w:p>
    <w:p>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第一部分  部门概况</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一、部门职责</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（一）办公室主要职责</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1、承办市人民代表大会会议有关筹备及会务工作。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2、承办常委会会议、常委会党组会议、常委会主任会议有关会务工作。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3、负责常委会综合性文件、材料以及常委会会议、常委会主任会议纪要等文稿草拟工作。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4、负责常委会《公报》、《人大工作》、《送阅材料》编印等工作。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5、承办常委会组织的执法检查、评议、视察、调研、考察等活动的有关服务工作。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6、配合有关工委督促检查市人民代表大会及其常委会决议、决定和审议意见的贯彻落实。</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7、协助做好市人大代表议案和建议、批评、意见的移送、催办等具体工作。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8、协助做好常委会联系市人大代表和在本市的全国、省、市人大代表的具体工作。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9、受理人民群众来信来访。</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10、负责常委会机关文电处理、档案管理、机要保密、印鉴管理及文印等工作。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11、负责常委会机关制度建设的有关具体工作。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12、负责常委会机关精神文明建设的有关具体工作。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13、负责常委会机关来宾接待、财务管理、资产管理、车辆管理、卫生管理、安全保卫等后勤服务工作，做好机关离退休干部的有关服务工作。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14、承办协调各工委的具体工作。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15、围绕人代会、常委会的重要议题及决议、决定贯彻落实情况开展调研。</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16、承办常委会领导交办的其他工作。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（二）人事代表选举工作委员会主要职责</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1、对常委会会议和常委会主任会议交办的相关议案进行调查研究，提出意见，为常委会审议议案提供材料。</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2、向常委会主任会议提出同本工作委员会有关的议案和建议。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3、了解和研究同本工作委员会工作范围有关的区人民政府及其所属职能部门的决定、命令、批示和规范性文件及乡镇人民代表大会的决议、决定，同宪法和法律、法规有无抵触，如有抵触，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4、对市人民代表大会及其常务委员会通过的同本工作委员会工作范围有关的决议、决定的执行情况进行调查研究，并向常委会主任会议或常委会会议报告。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5、对属于常委会职权范围内的同本工作委员会工作有关的重大问题，进行调查研究，提出建议。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6、对向常委会征求意见的法律、法规草案，与本工作委员会有关的负责组织讨论并提出修改意见。</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7、办理市人民代表大会代表选举的具体工作；受常委会委托指导乡镇人民代表大会代表选举工作。办理由我市选举产生的合肥市人大代表的有关工作。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8、办理市人民代表大会代表资格审查具体工作。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9、办理市人大常委会及其机关人事任免的具体工作。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10、办理常委会会议、常委会主任会议交办的其它事项，处理有关来信来访。</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（三）内务司法工作委员会</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1、对常委会会议和常委会主任会议交办的相关议案进行调查研究，提出意见，为常委会审议议案提供材料。</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2、向常委会主任会议提出同本工作委员会有关的议案和建议。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3、了解和研究同本工作委员会工作范围有关的区人民政府及其所属职能部门的决定、命令和规范性文件，市人民法院、市人民检察院制定的指导审判、检察工作的规范性文件及乡镇人民代表大会的决议、决定，同宪法和法律、法规有无抵触，如有抵触，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4、对市人民代表大会及其常务委员会通过的同本工作委员会工作范围有关的决议、决定的执行情况进行调查研究，并向常委会主任会议或常委会会议报告。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5、对属于常委会职权范围内的同本工作委员会工作有关的重大问题，进行调查研究，提出建议。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6、对向常委会征求意见的法律、法规草案，与本工作委员会有关的负责组织讨论并提出修改意见。</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7、承办常委会监督司法机关具体案件工作的日常事务。</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8、承办检查监督执行责任制推行的相关具体事务。</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9、做好常委会会议和常委会主任会议组织开展的与本工作委员会相关的工作评议和执法检查的有关工作；经常委会主任会议同意，对本工作委员会工作范围内有关法律、法规的执行情况进行调查研究。</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10、办理常委会会议，常委会主任会议交办的其它事项，处理涉法涉诉来信来访。</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（四）教育科学文化卫生工作委员会</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1、向常委会主任会议提出属于常委会职权范围内同本工作委员会有关的议案、建议；接受常委会主任会议委托拟订议案草案并向常委会会议作说明。</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2、对常委会会议和常委会主任会议交办的与本工作委员会有关的议案进行调查研究，提出意见。</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3、了解和研究同本工作委员会工作范围有关的市人民政府及其所属职能部门的决定、命令和规范性文件及乡镇人民代表大会的决议、决定，同宪法和法律、法规有无抵触，如有抵触，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4、对市人民代表大会及其常务委员会通过的同本工作委员会工作范围有关的决议、决定的执行情况进行调查研究，并向常委会主任会议或常委会会议报告。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5、对属于常委会职权范围内的同本工作委员会工作有关的重大问题，进行调查研究，提出建议。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6、对向常委会征求意见的法律、法规草案，与本工作委员会有关的负责组织讨论并提出修改意见。</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7、参加常委会会议和常委会主任会议安排的视察和专题调查，并按要求做好有关工作。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8、做好常委会会议和常委会主任会议组织开展的工作评议和执法检查的有关工作；经常委会主任会议同意，对本工作委员会工作范围内有关法律、法规的执行情况进行检查。</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9、办理常委会会议、常委会主任会议交办的其它事项，处理有关来信来访。</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（五）财政经济工作委员会</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1、向常委会主任会议提出同本工作委员会有关的议案和建议；对常委会会议和常委会主任会议交办的有关财政经济方面的议案和建议，进行调查研究，提出办理意见。</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2、按照《安徽省预算审查监督条例》规定，对市人民政府的预算编制、预算执行、预算调整和决算情况进行依法监督。</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3、在市人民代表大会会议召开前，对本区国民经济和社会发展计划及财政预算草案进行初审，为代表大会审议做好准备。</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4、对市人民政府关于本区财政预算调整和财政决算的建议，进行审理，提请常委会会议审议。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5、对市人民政府计划、预算执行和有关部门依法行政情况进行日常监督。</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6、对向常委会征求意见的经济法律、法规草案，负责组织讨论并提出修改意见。</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7、对与本工作委员会工作有关的市人民政府及其有关部门的决定、命令、批示和规范性文件及乡镇人大的决议、决定进行检查，如发现同宪法、法律、法规相抵触的，应向常委会主任会议或常委会会议报告。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8、调查了解财政经济方面的法律、法规和市人代会及其常委会通过的有关决议、决定的执行情况。</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9、围绕常委会会议有关议题和本市财政经济工作中涉及方针、政策性的重大事项和群众普遍关心的问题，进行调查研究，提出建议。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10、参加常委会会议和常委会主任会议安排的视察和专题调查，并按要求做好有关工作。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11、办理常委会会议和常委会主任会议交办的其它事项，处理有关来信来访。</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（六）农业与农村工作委员会</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1、对常委会会议和常委会主任会议交办的相关议案进行调查研究并提出意见，为常委会会议审议议案提供材料。</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2、向常委会主任会议提出同本工作委员会有关的议案和建议，接受常委会主任会议委托拟订议案草案并向常委会会议作说明。</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3、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4、对市人民代表大会及其常务委员会通过的同本工作委员会工作范围有关的决议、决定的执行情况进行调查研究，并向常委会主任会议或常委会会议报告。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5、对属于常委会职权范围内的同本工作委员会工作有关的重大问题，进行调查研究，并提出建议。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6、对向常委会征求意见的涉农法律、法规草案，负责组织讨论并提出修改意见。</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7、参加常委会会议和常委会主任会议安排的相关视察和专题调查，并按要求做好有关工作。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8、做好常委会会议和常委会主任会议组织开展的工作评议和执法检查的有关工作；经常委会主任会议同意，对本工作委员会工作范围内有关法律、法规的执行情况进行检查。</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9、办理常委会会议、常委会主任会议交办的其它事项，处理有关来信来访。</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（七）环境与资源保护工作委员会</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1、对常委会会议和常委会主任会议交办的相关议案进行调查研究并提出意见，为常委会会议审议议案提供材料。</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2、向常委会主任会议提出同本工作委员会有关的议案和建议，接受常委会主任会议委托拟订议案草案并向常委会会议作说明。</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3、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4、对市人民代表大会及其常务委员会通过的同本工作委员会工作范围有关的决议、决定的执行情况进行调查研究，并向常委会主任会议或常委会会议报告。</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5、对属于常委会职权范围内的同本工作委员会工作有关的重大问题，进行调查研究，并提出建议。</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6、对向常委会征求意见的有关法律、法规草案组织讨论并提出修改意见。</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7、参加常委会会议和常委会主任会议安排的相关视察和专题调查，并按要求做好有关工作。</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8、做好常委会会议和常委会主任会议组织开展的工作评议和执法检查的有关工作；经常委会主任会议同意，对本工作委员会工作范围内有关法律、法规的执行情况进行检查。</w:t>
      </w:r>
    </w:p>
    <w:p>
      <w:pPr>
        <w:spacing w:line="560" w:lineRule="exact"/>
        <w:ind w:firstLine="640" w:firstLineChars="200"/>
        <w:rPr>
          <w:rFonts w:hint="eastAsia"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14:textFill>
            <w14:solidFill>
              <w14:schemeClr w14:val="tx1"/>
            </w14:solidFill>
          </w14:textFill>
        </w:rPr>
        <w:t>9、办理常委会会议、常委会主任会议交办的其它事项，处理有关来信来访。</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二、部门预算单位构成</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度部门预算为</w:t>
      </w:r>
      <w:r>
        <w:rPr>
          <w:rFonts w:hint="eastAsia" w:ascii="Times New Roman" w:hAnsi="Times New Roman" w:eastAsia="仿宋_GB2312"/>
          <w:color w:val="000000" w:themeColor="text1"/>
          <w:sz w:val="32"/>
          <w:szCs w:val="32"/>
          <w:u w:val="none"/>
          <w:lang w:eastAsia="zh-CN"/>
          <w14:textFill>
            <w14:solidFill>
              <w14:schemeClr w14:val="tx1"/>
            </w14:solidFill>
          </w14:textFill>
        </w:rPr>
        <w:t>部门</w:t>
      </w:r>
      <w:r>
        <w:rPr>
          <w:rFonts w:ascii="Times New Roman" w:hAnsi="Times New Roman" w:eastAsia="仿宋_GB2312"/>
          <w:color w:val="000000" w:themeColor="text1"/>
          <w:sz w:val="32"/>
          <w:szCs w:val="32"/>
          <w14:textFill>
            <w14:solidFill>
              <w14:schemeClr w14:val="tx1"/>
            </w14:solidFill>
          </w14:textFill>
        </w:rPr>
        <w:t>本级预算，纳入部门预算编制范围的单位共1个，</w:t>
      </w:r>
      <w:r>
        <w:rPr>
          <w:rFonts w:ascii="Times New Roman" w:hAnsi="Times New Roman" w:eastAsia="仿宋_GB2312"/>
          <w:color w:val="000000" w:themeColor="text1"/>
          <w:sz w:val="32"/>
          <w:szCs w:val="32"/>
          <w:u w:val="none"/>
          <w14:textFill>
            <w14:solidFill>
              <w14:schemeClr w14:val="tx1"/>
            </w14:solidFill>
          </w14:textFill>
        </w:rPr>
        <w:t>单位性质为行政单位。截至</w:t>
      </w:r>
      <w:r>
        <w:rPr>
          <w:rFonts w:hint="eastAsia" w:ascii="Times New Roman" w:hAnsi="Times New Roman" w:eastAsia="仿宋_GB2312"/>
          <w:color w:val="000000" w:themeColor="text1"/>
          <w:sz w:val="32"/>
          <w:szCs w:val="32"/>
          <w:u w:val="none"/>
          <w14:textFill>
            <w14:solidFill>
              <w14:schemeClr w14:val="tx1"/>
            </w14:solidFill>
          </w14:textFill>
        </w:rPr>
        <w:t>2022年</w:t>
      </w:r>
      <w:r>
        <w:rPr>
          <w:rFonts w:ascii="Times New Roman" w:hAnsi="Times New Roman" w:eastAsia="仿宋_GB2312"/>
          <w:color w:val="000000" w:themeColor="text1"/>
          <w:sz w:val="32"/>
          <w:szCs w:val="32"/>
          <w:u w:val="none"/>
          <w14:textFill>
            <w14:solidFill>
              <w14:schemeClr w14:val="tx1"/>
            </w14:solidFill>
          </w14:textFill>
        </w:rPr>
        <w:t>12月31日，巢湖市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ascii="Times New Roman" w:hAnsi="Times New Roman" w:eastAsia="仿宋_GB2312"/>
          <w:color w:val="000000" w:themeColor="text1"/>
          <w:sz w:val="32"/>
          <w:szCs w:val="32"/>
          <w:u w:val="none"/>
          <w14:textFill>
            <w14:solidFill>
              <w14:schemeClr w14:val="tx1"/>
            </w14:solidFill>
          </w14:textFill>
        </w:rPr>
        <w:t>实有各类人员</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74</w:t>
      </w:r>
      <w:r>
        <w:rPr>
          <w:rFonts w:ascii="Times New Roman" w:hAnsi="Times New Roman" w:eastAsia="仿宋_GB2312"/>
          <w:color w:val="000000" w:themeColor="text1"/>
          <w:sz w:val="32"/>
          <w:szCs w:val="32"/>
          <w:u w:val="none"/>
          <w14:textFill>
            <w14:solidFill>
              <w14:schemeClr w14:val="tx1"/>
            </w14:solidFill>
          </w14:textFill>
        </w:rPr>
        <w:t>人，其中在职</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35</w:t>
      </w:r>
      <w:r>
        <w:rPr>
          <w:rFonts w:ascii="Times New Roman" w:hAnsi="Times New Roman" w:eastAsia="仿宋_GB2312"/>
          <w:color w:val="000000" w:themeColor="text1"/>
          <w:sz w:val="32"/>
          <w:szCs w:val="32"/>
          <w:u w:val="none"/>
          <w14:textFill>
            <w14:solidFill>
              <w14:schemeClr w14:val="tx1"/>
            </w14:solidFill>
          </w14:textFill>
        </w:rPr>
        <w:t>人、离休</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2</w:t>
      </w:r>
      <w:r>
        <w:rPr>
          <w:rFonts w:ascii="Times New Roman" w:hAnsi="Times New Roman" w:eastAsia="仿宋_GB2312"/>
          <w:color w:val="000000" w:themeColor="text1"/>
          <w:sz w:val="32"/>
          <w:szCs w:val="32"/>
          <w:u w:val="none"/>
          <w14:textFill>
            <w14:solidFill>
              <w14:schemeClr w14:val="tx1"/>
            </w14:solidFill>
          </w14:textFill>
        </w:rPr>
        <w:t>人、退休</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37</w:t>
      </w:r>
      <w:r>
        <w:rPr>
          <w:rFonts w:ascii="Times New Roman" w:hAnsi="Times New Roman" w:eastAsia="仿宋_GB2312"/>
          <w:color w:val="000000" w:themeColor="text1"/>
          <w:sz w:val="32"/>
          <w:szCs w:val="32"/>
          <w:u w:val="none"/>
          <w14:textFill>
            <w14:solidFill>
              <w14:schemeClr w14:val="tx1"/>
            </w14:solidFill>
          </w14:textFill>
        </w:rPr>
        <w:t>人</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楷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度主要工作任务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27"/>
        <w:jc w:val="both"/>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（一）筹备召开市十届人民代表大会第</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w:t>
      </w:r>
      <w:r>
        <w:rPr>
          <w:rFonts w:ascii="Times New Roman" w:hAnsi="Times New Roman" w:eastAsia="仿宋_GB2312" w:cs="Times New Roman"/>
          <w:color w:val="000000" w:themeColor="text1"/>
          <w:kern w:val="2"/>
          <w:sz w:val="32"/>
          <w:szCs w:val="32"/>
          <w:lang w:val="en-US" w:eastAsia="zh-CN" w:bidi="ar-SA"/>
          <w14:textFill>
            <w14:solidFill>
              <w14:schemeClr w14:val="tx1"/>
            </w14:solidFill>
          </w14:textFill>
        </w:rPr>
        <w:t>次会议。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27"/>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听取和审议市人民政府关于2022年财政决算和2023年财政预算、2022年市级财政预算执行及其他财政收支的审计工作、2022年市级预算执行和其他财政收支审计工作查出问题整改情况、2022年国民经济和社会发展计划执行情况及2023年国民经济和社会发展计划的报告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27"/>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（三）完善“一府一委两院”国家机关工作人员向常委会报告履职情况工作，适时开展测评。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27"/>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（四）听取和审议市人民政府关于食品安全、脱贫攻坚、政府重大投资项目建设、社会保险基金和融资类重大事项议案等工作情况的报告，继续开展工作评议，适时开展视察调研。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27"/>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（五）组织市人大代表开展代表向选民述职活动，监督代表履职补助制度执行，激励、保障代表依法履职；继续开展“脱贫攻坚，人大代表在行动”等主题实践活动，增强代表意识，凝聚代表合力。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27"/>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（六）强化对乡镇街道人大干部的培训，提升工作能力。指导乡镇街道人大继续加强制度建设，建立乡镇街道人大工作年度考评机制。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27"/>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七）继续深入学习贯彻习近平新时代中国特色社会主义思想，加强政治理论学习，准确领会习近平新时代中国特色社会主义思想的核心要义和丰富内涵，用以指导推动工作。深入贯彻党的十九大关于发展社会主义民主政治的新部署新要求，不断丰富人民代表大会制度实践，完善常委会工作机制。</w:t>
      </w:r>
    </w:p>
    <w:p>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第二部分  </w:t>
      </w:r>
      <w:r>
        <w:rPr>
          <w:rFonts w:hint="eastAsia" w:ascii="Times New Roman" w:hAnsi="Times New Roman" w:eastAsia="黑体"/>
          <w:color w:val="000000" w:themeColor="text1"/>
          <w:sz w:val="36"/>
          <w:szCs w:val="36"/>
          <w14:textFill>
            <w14:solidFill>
              <w14:schemeClr w14:val="tx1"/>
            </w14:solidFill>
          </w14:textFill>
        </w:rPr>
        <w:t>2023年</w:t>
      </w:r>
      <w:r>
        <w:rPr>
          <w:rFonts w:ascii="Times New Roman" w:hAnsi="Times New Roman" w:eastAsia="黑体"/>
          <w:color w:val="000000" w:themeColor="text1"/>
          <w:sz w:val="36"/>
          <w:szCs w:val="36"/>
          <w14:textFill>
            <w14:solidFill>
              <w14:schemeClr w14:val="tx1"/>
            </w14:solidFill>
          </w14:textFill>
        </w:rPr>
        <w:t>部门预算表</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预算表由以下16张表格构成，具体表格内容见</w:t>
      </w:r>
      <w:r>
        <w:rPr>
          <w:rFonts w:hint="eastAsia" w:ascii="Times New Roman" w:hAnsi="Times New Roman" w:eastAsia="仿宋_GB2312"/>
          <w:color w:val="000000" w:themeColor="text1"/>
          <w:sz w:val="32"/>
          <w:szCs w:val="32"/>
          <w14:textFill>
            <w14:solidFill>
              <w14:schemeClr w14:val="tx1"/>
            </w14:solidFill>
          </w14:textFill>
        </w:rPr>
        <w:t>附件</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565" w:firstLineChars="176"/>
        <w:jc w:val="left"/>
        <w:rPr>
          <w:rFonts w:ascii="楷体" w:hAnsi="楷体" w:eastAsia="楷体"/>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（一）部门预算表</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部门收支总表（</w:t>
      </w:r>
      <w:r>
        <w:rPr>
          <w:rFonts w:hint="eastAsia" w:ascii="Times New Roman" w:hAnsi="Times New Roman" w:eastAsia="仿宋_GB2312"/>
          <w:color w:val="000000" w:themeColor="text1"/>
          <w:sz w:val="32"/>
          <w:szCs w:val="32"/>
          <w14:textFill>
            <w14:solidFill>
              <w14:schemeClr w14:val="tx1"/>
            </w14:solidFill>
          </w14:textFill>
        </w:rPr>
        <w:t>附件表1</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部门收入总表（</w:t>
      </w:r>
      <w:r>
        <w:rPr>
          <w:rFonts w:hint="eastAsia" w:ascii="Times New Roman" w:hAnsi="Times New Roman" w:eastAsia="仿宋_GB2312"/>
          <w:color w:val="000000" w:themeColor="text1"/>
          <w:sz w:val="32"/>
          <w:szCs w:val="32"/>
          <w14:textFill>
            <w14:solidFill>
              <w14:schemeClr w14:val="tx1"/>
            </w14:solidFill>
          </w14:textFill>
        </w:rPr>
        <w:t>附件表2</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部门支出总表（</w:t>
      </w:r>
      <w:r>
        <w:rPr>
          <w:rFonts w:hint="eastAsia" w:ascii="Times New Roman" w:hAnsi="Times New Roman" w:eastAsia="仿宋_GB2312"/>
          <w:color w:val="000000" w:themeColor="text1"/>
          <w:sz w:val="32"/>
          <w:szCs w:val="32"/>
          <w14:textFill>
            <w14:solidFill>
              <w14:schemeClr w14:val="tx1"/>
            </w14:solidFill>
          </w14:textFill>
        </w:rPr>
        <w:t>附件表3</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部门财政拨款收支总表（</w:t>
      </w:r>
      <w:r>
        <w:rPr>
          <w:rFonts w:hint="eastAsia" w:ascii="Times New Roman" w:hAnsi="Times New Roman" w:eastAsia="仿宋_GB2312"/>
          <w:color w:val="000000" w:themeColor="text1"/>
          <w:sz w:val="32"/>
          <w:szCs w:val="32"/>
          <w14:textFill>
            <w14:solidFill>
              <w14:schemeClr w14:val="tx1"/>
            </w14:solidFill>
          </w14:textFill>
        </w:rPr>
        <w:t>附件表4</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pacing w:val="-20"/>
          <w:sz w:val="32"/>
          <w:szCs w:val="32"/>
          <w14:textFill>
            <w14:solidFill>
              <w14:schemeClr w14:val="tx1"/>
            </w14:solidFill>
          </w14:textFill>
        </w:rPr>
        <w:t>部</w:t>
      </w:r>
      <w:r>
        <w:rPr>
          <w:rFonts w:ascii="Times New Roman" w:hAnsi="Times New Roman" w:eastAsia="仿宋_GB2312"/>
          <w:color w:val="000000" w:themeColor="text1"/>
          <w:sz w:val="32"/>
          <w:szCs w:val="32"/>
          <w14:textFill>
            <w14:solidFill>
              <w14:schemeClr w14:val="tx1"/>
            </w14:solidFill>
          </w14:textFill>
        </w:rPr>
        <w:t>门一般公共预算支出表（</w:t>
      </w:r>
      <w:r>
        <w:rPr>
          <w:rFonts w:hint="eastAsia" w:ascii="Times New Roman" w:hAnsi="Times New Roman" w:eastAsia="仿宋_GB2312"/>
          <w:color w:val="000000" w:themeColor="text1"/>
          <w:sz w:val="32"/>
          <w:szCs w:val="32"/>
          <w14:textFill>
            <w14:solidFill>
              <w14:schemeClr w14:val="tx1"/>
            </w14:solidFill>
          </w14:textFill>
        </w:rPr>
        <w:t>附件表5</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部门一般公共预算基本支出表（</w:t>
      </w:r>
      <w:r>
        <w:rPr>
          <w:rFonts w:hint="eastAsia" w:ascii="Times New Roman" w:hAnsi="Times New Roman" w:eastAsia="仿宋_GB2312"/>
          <w:color w:val="000000" w:themeColor="text1"/>
          <w:sz w:val="32"/>
          <w:szCs w:val="32"/>
          <w14:textFill>
            <w14:solidFill>
              <w14:schemeClr w14:val="tx1"/>
            </w14:solidFill>
          </w14:textFill>
        </w:rPr>
        <w:t>附件表6</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部门政府性基金预算支出表（</w:t>
      </w:r>
      <w:r>
        <w:rPr>
          <w:rFonts w:hint="eastAsia" w:ascii="Times New Roman" w:hAnsi="Times New Roman" w:eastAsia="仿宋_GB2312"/>
          <w:color w:val="000000" w:themeColor="text1"/>
          <w:sz w:val="32"/>
          <w:szCs w:val="32"/>
          <w14:textFill>
            <w14:solidFill>
              <w14:schemeClr w14:val="tx1"/>
            </w14:solidFill>
          </w14:textFill>
        </w:rPr>
        <w:t>附件表7</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部门国有资本经营预算支出表（</w:t>
      </w:r>
      <w:r>
        <w:rPr>
          <w:rFonts w:hint="eastAsia" w:ascii="Times New Roman" w:hAnsi="Times New Roman" w:eastAsia="仿宋_GB2312"/>
          <w:color w:val="000000" w:themeColor="text1"/>
          <w:sz w:val="32"/>
          <w:szCs w:val="32"/>
          <w14:textFill>
            <w14:solidFill>
              <w14:schemeClr w14:val="tx1"/>
            </w14:solidFill>
          </w14:textFill>
        </w:rPr>
        <w:t>附件表8</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9.</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部门基本支出总表（</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9）</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10.</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w:t>
      </w:r>
      <w:r>
        <w:rPr>
          <w:rFonts w:hint="eastAsia" w:ascii="Times New Roman" w:hAnsi="Times New Roman" w:eastAsia="仿宋_GB2312"/>
          <w:color w:val="000000" w:themeColor="text1"/>
          <w:sz w:val="32"/>
          <w:szCs w:val="32"/>
          <w14:textFill>
            <w14:solidFill>
              <w14:schemeClr w14:val="tx1"/>
            </w14:solidFill>
          </w14:textFill>
        </w:rPr>
        <w:t>项目</w:t>
      </w:r>
      <w:r>
        <w:rPr>
          <w:rFonts w:ascii="Times New Roman" w:hAnsi="Times New Roman" w:eastAsia="仿宋_GB2312"/>
          <w:color w:val="000000" w:themeColor="text1"/>
          <w:sz w:val="32"/>
          <w:szCs w:val="32"/>
          <w14:textFill>
            <w14:solidFill>
              <w14:schemeClr w14:val="tx1"/>
            </w14:solidFill>
          </w14:textFill>
        </w:rPr>
        <w:t>支出总表（</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10）</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11.</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部门政府采购支出表（</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11）</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12.</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部门政府购买服务支出表（</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12）</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13.</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部门项目支出绩效目标及项目情况表（</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13）</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14.</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部门“三公”经费支出预算表（</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14）</w:t>
      </w:r>
    </w:p>
    <w:p>
      <w:pPr>
        <w:spacing w:line="560" w:lineRule="exact"/>
        <w:ind w:firstLine="565" w:firstLineChars="176"/>
        <w:jc w:val="left"/>
        <w:rPr>
          <w:rFonts w:ascii="楷体" w:hAnsi="楷体" w:eastAsia="楷体"/>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（二）对下转移支付预算表</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15.</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2023年市本级对下转移支付预算</w:t>
      </w:r>
      <w:r>
        <w:rPr>
          <w:rFonts w:ascii="Times New Roman" w:hAnsi="Times New Roman" w:eastAsia="仿宋_GB2312"/>
          <w:color w:val="000000" w:themeColor="text1"/>
          <w:sz w:val="32"/>
          <w:szCs w:val="32"/>
          <w14:textFill>
            <w14:solidFill>
              <w14:schemeClr w14:val="tx1"/>
            </w14:solidFill>
          </w14:textFill>
        </w:rPr>
        <w:t>汇总</w:t>
      </w:r>
      <w:r>
        <w:rPr>
          <w:rFonts w:hint="eastAsia" w:ascii="Times New Roman" w:hAnsi="Times New Roman" w:eastAsia="仿宋_GB2312"/>
          <w:color w:val="000000" w:themeColor="text1"/>
          <w:sz w:val="32"/>
          <w:szCs w:val="32"/>
          <w14:textFill>
            <w14:solidFill>
              <w14:schemeClr w14:val="tx1"/>
            </w14:solidFill>
          </w14:textFill>
        </w:rPr>
        <w:t>表</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15）</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2023年市本级对下转移支付预算明细表</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附件表</w:t>
      </w:r>
      <w:r>
        <w:rPr>
          <w:rFonts w:ascii="Times New Roman" w:hAnsi="Times New Roman" w:eastAsia="仿宋_GB2312"/>
          <w:color w:val="000000" w:themeColor="text1"/>
          <w:sz w:val="32"/>
          <w:szCs w:val="32"/>
          <w14:textFill>
            <w14:solidFill>
              <w14:schemeClr w14:val="tx1"/>
            </w14:solidFill>
          </w14:textFill>
        </w:rPr>
        <w:t>16）</w:t>
      </w:r>
    </w:p>
    <w:p>
      <w:pPr>
        <w:spacing w:line="560" w:lineRule="exact"/>
        <w:jc w:val="center"/>
        <w:rPr>
          <w:rFonts w:ascii="Times New Roman" w:hAnsi="Times New Roman" w:eastAsia="黑体"/>
          <w:color w:val="000000" w:themeColor="text1"/>
          <w:sz w:val="36"/>
          <w:szCs w:val="36"/>
          <w14:textFill>
            <w14:solidFill>
              <w14:schemeClr w14:val="tx1"/>
            </w14:solidFill>
          </w14:textFill>
        </w:rPr>
      </w:pPr>
    </w:p>
    <w:p>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第三部分  </w:t>
      </w:r>
      <w:r>
        <w:rPr>
          <w:rFonts w:hint="eastAsia" w:ascii="Times New Roman" w:hAnsi="Times New Roman" w:eastAsia="黑体"/>
          <w:color w:val="000000" w:themeColor="text1"/>
          <w:sz w:val="36"/>
          <w:szCs w:val="36"/>
          <w14:textFill>
            <w14:solidFill>
              <w14:schemeClr w14:val="tx1"/>
            </w14:solidFill>
          </w14:textFill>
        </w:rPr>
        <w:t>2023年</w:t>
      </w:r>
      <w:r>
        <w:rPr>
          <w:rFonts w:ascii="Times New Roman" w:hAnsi="Times New Roman" w:eastAsia="黑体"/>
          <w:color w:val="000000" w:themeColor="text1"/>
          <w:sz w:val="36"/>
          <w:szCs w:val="36"/>
          <w14:textFill>
            <w14:solidFill>
              <w14:schemeClr w14:val="tx1"/>
            </w14:solidFill>
          </w14:textFill>
        </w:rPr>
        <w:t>部门预算情况说明</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一</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收支预算总体情况说明</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按照综合预算原则，</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ascii="Times New Roman" w:hAnsi="Times New Roman" w:eastAsia="仿宋_GB2312"/>
          <w:color w:val="000000" w:themeColor="text1"/>
          <w:sz w:val="32"/>
          <w:szCs w:val="32"/>
          <w14:textFill>
            <w14:solidFill>
              <w14:schemeClr w14:val="tx1"/>
            </w14:solidFill>
          </w14:textFill>
        </w:rPr>
        <w:t>所有收入和支出均纳入部门预算管理。</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收支总预算</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（不含提前下达，下同）</w:t>
      </w:r>
      <w:r>
        <w:rPr>
          <w:rFonts w:ascii="Times New Roman" w:hAnsi="Times New Roman" w:eastAsia="仿宋_GB2312"/>
          <w:color w:val="000000" w:themeColor="text1"/>
          <w:sz w:val="32"/>
          <w:szCs w:val="32"/>
          <w14:textFill>
            <w14:solidFill>
              <w14:schemeClr w14:val="tx1"/>
            </w14:solidFill>
          </w14:textFill>
        </w:rPr>
        <w:t>，收入</w:t>
      </w:r>
      <w:r>
        <w:rPr>
          <w:rFonts w:hint="eastAsia" w:ascii="Times New Roman" w:hAnsi="Times New Roman" w:eastAsia="仿宋_GB2312"/>
          <w:color w:val="000000" w:themeColor="text1"/>
          <w:sz w:val="32"/>
          <w:szCs w:val="32"/>
          <w:lang w:eastAsia="zh-CN"/>
          <w14:textFill>
            <w14:solidFill>
              <w14:schemeClr w14:val="tx1"/>
            </w14:solidFill>
          </w14:textFill>
        </w:rPr>
        <w:t>全部为</w:t>
      </w:r>
      <w:r>
        <w:rPr>
          <w:rFonts w:ascii="Times New Roman" w:hAnsi="Times New Roman" w:eastAsia="仿宋_GB2312"/>
          <w:color w:val="000000" w:themeColor="text1"/>
          <w:sz w:val="32"/>
          <w:szCs w:val="32"/>
          <w14:textFill>
            <w14:solidFill>
              <w14:schemeClr w14:val="tx1"/>
            </w14:solidFill>
          </w14:textFill>
        </w:rPr>
        <w:t>一般公共预算拨款收入，支出包括一般</w:t>
      </w:r>
      <w:r>
        <w:rPr>
          <w:rFonts w:hint="eastAsia" w:ascii="Times New Roman" w:hAnsi="Times New Roman" w:eastAsia="仿宋_GB2312"/>
          <w:color w:val="000000" w:themeColor="text1"/>
          <w:sz w:val="32"/>
          <w:szCs w:val="32"/>
          <w:lang w:eastAsia="zh-CN"/>
          <w14:textFill>
            <w14:solidFill>
              <w14:schemeClr w14:val="tx1"/>
            </w14:solidFill>
          </w14:textFill>
        </w:rPr>
        <w:t>公共</w:t>
      </w:r>
      <w:r>
        <w:rPr>
          <w:rFonts w:ascii="Times New Roman" w:hAnsi="Times New Roman" w:eastAsia="仿宋_GB2312"/>
          <w:color w:val="000000" w:themeColor="text1"/>
          <w:sz w:val="32"/>
          <w:szCs w:val="32"/>
          <w14:textFill>
            <w14:solidFill>
              <w14:schemeClr w14:val="tx1"/>
            </w14:solidFill>
          </w14:textFill>
        </w:rPr>
        <w:t>服务</w:t>
      </w:r>
      <w:r>
        <w:rPr>
          <w:rFonts w:hint="eastAsia" w:ascii="Times New Roman" w:hAnsi="Times New Roman" w:eastAsia="仿宋_GB2312"/>
          <w:color w:val="000000" w:themeColor="text1"/>
          <w:sz w:val="32"/>
          <w:szCs w:val="32"/>
          <w14:textFill>
            <w14:solidFill>
              <w14:schemeClr w14:val="tx1"/>
            </w14:solidFill>
          </w14:textFill>
        </w:rPr>
        <w:t>支出</w:t>
      </w:r>
      <w:r>
        <w:rPr>
          <w:rFonts w:ascii="Times New Roman" w:hAnsi="Times New Roman" w:eastAsia="仿宋_GB2312"/>
          <w:color w:val="000000" w:themeColor="text1"/>
          <w:sz w:val="32"/>
          <w:szCs w:val="32"/>
          <w14:textFill>
            <w14:solidFill>
              <w14:schemeClr w14:val="tx1"/>
            </w14:solidFill>
          </w14:textFill>
        </w:rPr>
        <w:t>、社会保障和就业支出、卫生健康支出、住房保障支出。</w:t>
      </w:r>
      <w:bookmarkStart w:id="0" w:name="_GoBack"/>
      <w:bookmarkEnd w:id="0"/>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二</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收入预算情况说明</w:t>
      </w:r>
    </w:p>
    <w:p>
      <w:pPr>
        <w:adjustRightInd w:val="0"/>
        <w:snapToGrid w:val="0"/>
        <w:spacing w:line="56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收入预算</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val="en-US" w:eastAsia="zh-CN"/>
          <w14:textFill>
            <w14:solidFill>
              <w14:schemeClr w14:val="tx1"/>
            </w14:solidFill>
          </w14:textFill>
        </w:rPr>
        <w:t>收入全部是</w:t>
      </w:r>
      <w:r>
        <w:rPr>
          <w:rFonts w:ascii="Times New Roman" w:hAnsi="Times New Roman" w:eastAsia="仿宋_GB2312"/>
          <w:color w:val="000000" w:themeColor="text1"/>
          <w:sz w:val="32"/>
          <w:szCs w:val="32"/>
          <w14:textFill>
            <w14:solidFill>
              <w14:schemeClr w14:val="tx1"/>
            </w14:solidFill>
          </w14:textFill>
        </w:rPr>
        <w:t>一般公共预算拨款收入</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ascii="Times New Roman" w:hAnsi="Times New Roman" w:eastAsia="仿宋_GB2312"/>
          <w:color w:val="000000" w:themeColor="text1"/>
          <w:sz w:val="32"/>
          <w:szCs w:val="32"/>
          <w14:textFill>
            <w14:solidFill>
              <w14:schemeClr w14:val="tx1"/>
            </w14:solidFill>
          </w14:textFill>
        </w:rPr>
        <w:t>%，比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298.55</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30.49</w:t>
      </w:r>
      <w:r>
        <w:rPr>
          <w:rFonts w:ascii="Times New Roman" w:hAnsi="Times New Roman" w:eastAsia="仿宋_GB2312"/>
          <w:color w:val="000000" w:themeColor="text1"/>
          <w:sz w:val="32"/>
          <w:szCs w:val="32"/>
          <w14:textFill>
            <w14:solidFill>
              <w14:schemeClr w14:val="tx1"/>
            </w14:solidFill>
          </w14:textFill>
        </w:rPr>
        <w:t>%，增长原因主要是</w:t>
      </w:r>
      <w:r>
        <w:rPr>
          <w:rFonts w:ascii="仿宋" w:hAnsi="仿宋" w:eastAsia="仿宋" w:cs="仿宋"/>
          <w:i w:val="0"/>
          <w:iCs w:val="0"/>
          <w:caps w:val="0"/>
          <w:color w:val="000000"/>
          <w:spacing w:val="0"/>
          <w:sz w:val="32"/>
          <w:szCs w:val="32"/>
          <w:shd w:val="clear" w:fill="FFFFFF"/>
        </w:rPr>
        <w:t>基本支出中</w:t>
      </w:r>
      <w:r>
        <w:rPr>
          <w:rFonts w:hint="eastAsia" w:ascii="仿宋" w:hAnsi="仿宋" w:eastAsia="仿宋" w:cs="仿宋"/>
          <w:i w:val="0"/>
          <w:iCs w:val="0"/>
          <w:caps w:val="0"/>
          <w:color w:val="000000"/>
          <w:spacing w:val="0"/>
          <w:sz w:val="32"/>
          <w:szCs w:val="32"/>
          <w:shd w:val="clear" w:fill="FFFFFF"/>
          <w:lang w:val="en-US" w:eastAsia="zh-CN"/>
        </w:rPr>
        <w:t>一般公共服务</w:t>
      </w:r>
      <w:r>
        <w:rPr>
          <w:rFonts w:ascii="仿宋" w:hAnsi="仿宋" w:eastAsia="仿宋" w:cs="仿宋"/>
          <w:i w:val="0"/>
          <w:iCs w:val="0"/>
          <w:caps w:val="0"/>
          <w:color w:val="000000"/>
          <w:spacing w:val="0"/>
          <w:sz w:val="32"/>
          <w:szCs w:val="32"/>
          <w:shd w:val="clear" w:fill="FFFFFF"/>
        </w:rPr>
        <w:t>增加</w:t>
      </w:r>
      <w:r>
        <w:rPr>
          <w:rFonts w:hint="eastAsia" w:ascii="仿宋" w:hAnsi="仿宋" w:eastAsia="仿宋" w:cs="仿宋"/>
          <w:i w:val="0"/>
          <w:iCs w:val="0"/>
          <w:caps w:val="0"/>
          <w:color w:val="000000"/>
          <w:spacing w:val="0"/>
          <w:sz w:val="32"/>
          <w:szCs w:val="32"/>
          <w:shd w:val="clear" w:fill="FFFFFF"/>
          <w:lang w:val="en-US" w:eastAsia="zh-CN"/>
        </w:rPr>
        <w:t>89</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w:t>
      </w:r>
      <w:r>
        <w:rPr>
          <w:rFonts w:ascii="仿宋" w:hAnsi="仿宋" w:eastAsia="仿宋" w:cs="仿宋"/>
          <w:i w:val="0"/>
          <w:iCs w:val="0"/>
          <w:caps w:val="0"/>
          <w:color w:val="000000"/>
          <w:spacing w:val="0"/>
          <w:sz w:val="32"/>
          <w:szCs w:val="32"/>
          <w:shd w:val="clear" w:fill="FFFFFF"/>
        </w:rPr>
        <w:t>行政事业单位养老支出增加</w:t>
      </w:r>
      <w:r>
        <w:rPr>
          <w:rFonts w:hint="eastAsia" w:ascii="仿宋" w:hAnsi="仿宋" w:eastAsia="仿宋" w:cs="仿宋"/>
          <w:i w:val="0"/>
          <w:iCs w:val="0"/>
          <w:caps w:val="0"/>
          <w:color w:val="000000"/>
          <w:spacing w:val="0"/>
          <w:sz w:val="32"/>
          <w:szCs w:val="32"/>
          <w:shd w:val="clear" w:fill="FFFFFF"/>
          <w:lang w:val="en-US" w:eastAsia="zh-CN"/>
        </w:rPr>
        <w:t>203</w:t>
      </w:r>
      <w:r>
        <w:rPr>
          <w:rFonts w:hint="eastAsia" w:ascii="仿宋" w:hAnsi="仿宋" w:eastAsia="仿宋" w:cs="仿宋"/>
          <w:i w:val="0"/>
          <w:iCs w:val="0"/>
          <w:caps w:val="0"/>
          <w:color w:val="000000"/>
          <w:spacing w:val="0"/>
          <w:sz w:val="32"/>
          <w:szCs w:val="32"/>
          <w:shd w:val="clear" w:fill="FFFFFF"/>
        </w:rPr>
        <w:t>万元</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三</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支出预算情况说明</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298.55</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30.49</w:t>
      </w:r>
      <w:r>
        <w:rPr>
          <w:rFonts w:ascii="Times New Roman" w:hAnsi="Times New Roman" w:eastAsia="仿宋_GB2312"/>
          <w:color w:val="000000" w:themeColor="text1"/>
          <w:sz w:val="32"/>
          <w:szCs w:val="32"/>
          <w14:textFill>
            <w14:solidFill>
              <w14:schemeClr w14:val="tx1"/>
            </w14:solidFill>
          </w14:textFill>
        </w:rPr>
        <w:t>%，增长原因主要是</w:t>
      </w:r>
      <w:r>
        <w:rPr>
          <w:rFonts w:ascii="仿宋" w:hAnsi="仿宋" w:eastAsia="仿宋" w:cs="仿宋"/>
          <w:i w:val="0"/>
          <w:iCs w:val="0"/>
          <w:caps w:val="0"/>
          <w:color w:val="000000"/>
          <w:spacing w:val="0"/>
          <w:sz w:val="32"/>
          <w:szCs w:val="32"/>
          <w:shd w:val="clear" w:fill="FFFFFF"/>
        </w:rPr>
        <w:t>基本支出中</w:t>
      </w:r>
      <w:r>
        <w:rPr>
          <w:rFonts w:hint="eastAsia" w:ascii="仿宋" w:hAnsi="仿宋" w:eastAsia="仿宋" w:cs="仿宋"/>
          <w:i w:val="0"/>
          <w:iCs w:val="0"/>
          <w:caps w:val="0"/>
          <w:color w:val="000000"/>
          <w:spacing w:val="0"/>
          <w:sz w:val="32"/>
          <w:szCs w:val="32"/>
          <w:shd w:val="clear" w:fill="FFFFFF"/>
          <w:lang w:val="en-US" w:eastAsia="zh-CN"/>
        </w:rPr>
        <w:t>一般公共服务</w:t>
      </w:r>
      <w:r>
        <w:rPr>
          <w:rFonts w:ascii="仿宋" w:hAnsi="仿宋" w:eastAsia="仿宋" w:cs="仿宋"/>
          <w:i w:val="0"/>
          <w:iCs w:val="0"/>
          <w:caps w:val="0"/>
          <w:color w:val="000000"/>
          <w:spacing w:val="0"/>
          <w:sz w:val="32"/>
          <w:szCs w:val="32"/>
          <w:shd w:val="clear" w:fill="FFFFFF"/>
        </w:rPr>
        <w:t>增加</w:t>
      </w:r>
      <w:r>
        <w:rPr>
          <w:rFonts w:hint="eastAsia" w:ascii="仿宋" w:hAnsi="仿宋" w:eastAsia="仿宋" w:cs="仿宋"/>
          <w:i w:val="0"/>
          <w:iCs w:val="0"/>
          <w:caps w:val="0"/>
          <w:color w:val="000000"/>
          <w:spacing w:val="0"/>
          <w:sz w:val="32"/>
          <w:szCs w:val="32"/>
          <w:shd w:val="clear" w:fill="FFFFFF"/>
          <w:lang w:val="en-US" w:eastAsia="zh-CN"/>
        </w:rPr>
        <w:t>89</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eastAsia="zh-CN"/>
        </w:rPr>
        <w:t>，</w:t>
      </w:r>
      <w:r>
        <w:rPr>
          <w:rFonts w:ascii="仿宋" w:hAnsi="仿宋" w:eastAsia="仿宋" w:cs="仿宋"/>
          <w:i w:val="0"/>
          <w:iCs w:val="0"/>
          <w:caps w:val="0"/>
          <w:color w:val="000000"/>
          <w:spacing w:val="0"/>
          <w:sz w:val="32"/>
          <w:szCs w:val="32"/>
          <w:shd w:val="clear" w:fill="FFFFFF"/>
        </w:rPr>
        <w:t>行政事业单位养老支出增加</w:t>
      </w:r>
      <w:r>
        <w:rPr>
          <w:rFonts w:hint="eastAsia" w:ascii="仿宋" w:hAnsi="仿宋" w:eastAsia="仿宋" w:cs="仿宋"/>
          <w:i w:val="0"/>
          <w:iCs w:val="0"/>
          <w:caps w:val="0"/>
          <w:color w:val="000000"/>
          <w:spacing w:val="0"/>
          <w:sz w:val="32"/>
          <w:szCs w:val="32"/>
          <w:shd w:val="clear" w:fill="FFFFFF"/>
          <w:lang w:val="en-US" w:eastAsia="zh-CN"/>
        </w:rPr>
        <w:t>203</w:t>
      </w:r>
      <w:r>
        <w:rPr>
          <w:rFonts w:hint="eastAsia" w:ascii="仿宋" w:hAnsi="仿宋" w:eastAsia="仿宋" w:cs="仿宋"/>
          <w:i w:val="0"/>
          <w:iCs w:val="0"/>
          <w:caps w:val="0"/>
          <w:color w:val="000000"/>
          <w:spacing w:val="0"/>
          <w:sz w:val="32"/>
          <w:szCs w:val="32"/>
          <w:shd w:val="clear" w:fill="FFFFFF"/>
        </w:rPr>
        <w:t>万元</w:t>
      </w:r>
      <w:r>
        <w:rPr>
          <w:rFonts w:ascii="Times New Roman" w:hAnsi="Times New Roman" w:eastAsia="仿宋_GB2312"/>
          <w:color w:val="000000" w:themeColor="text1"/>
          <w:sz w:val="32"/>
          <w:szCs w:val="32"/>
          <w14:textFill>
            <w14:solidFill>
              <w14:schemeClr w14:val="tx1"/>
            </w14:solidFill>
          </w14:textFill>
        </w:rPr>
        <w:t>。其中，基本支出</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ascii="Times New Roman" w:hAnsi="Times New Roman" w:eastAsia="仿宋_GB2312"/>
          <w:color w:val="000000" w:themeColor="text1"/>
          <w:sz w:val="32"/>
          <w:szCs w:val="32"/>
          <w14:textFill>
            <w14:solidFill>
              <w14:schemeClr w14:val="tx1"/>
            </w14:solidFill>
          </w14:textFill>
        </w:rPr>
        <w:t>%，主要用于主要用于人员支出、保障机构日常运转、完成日常工作任务等。</w:t>
      </w:r>
    </w:p>
    <w:p>
      <w:pPr>
        <w:spacing w:line="560" w:lineRule="exact"/>
        <w:ind w:firstLine="640" w:firstLineChars="200"/>
        <w:jc w:val="lef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四</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财政拨款收支预算总体情况说明</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财政拨款收支预算</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ascii="Times New Roman" w:hAnsi="Times New Roman" w:eastAsia="仿宋_GB2312"/>
          <w:color w:val="000000" w:themeColor="text1"/>
          <w:sz w:val="32"/>
          <w:szCs w:val="32"/>
          <w14:textFill>
            <w14:solidFill>
              <w14:schemeClr w14:val="tx1"/>
            </w14:solidFill>
          </w14:textFill>
        </w:rPr>
        <w:t>万元。收入按资金来源分全部为一般公共预算拨款</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hint="eastAsia" w:ascii="Times New Roman" w:hAnsi="Times New Roman" w:eastAsia="仿宋_GB2312"/>
          <w:color w:val="000000" w:themeColor="text1"/>
          <w:sz w:val="32"/>
          <w:szCs w:val="32"/>
          <w14:textFill>
            <w14:solidFill>
              <w14:schemeClr w14:val="tx1"/>
            </w14:solidFill>
          </w14:textFill>
        </w:rPr>
        <w:t>万元；按资金年度分全部为当年财政拨款收入</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hint="eastAsia" w:ascii="Times New Roman" w:hAnsi="Times New Roman" w:eastAsia="仿宋_GB2312"/>
          <w:color w:val="000000" w:themeColor="text1"/>
          <w:sz w:val="32"/>
          <w:szCs w:val="32"/>
          <w14:textFill>
            <w14:solidFill>
              <w14:schemeClr w14:val="tx1"/>
            </w14:solidFill>
          </w14:textFill>
        </w:rPr>
        <w:t>万元。</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楷体"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支出按功能分类分为：一般公共服务支出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822.41</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64.36</w:t>
      </w:r>
      <w:r>
        <w:rPr>
          <w:rFonts w:ascii="Times New Roman" w:hAnsi="Times New Roman" w:eastAsia="仿宋_GB2312" w:cs="Times New Roman"/>
          <w:color w:val="000000" w:themeColor="text1"/>
          <w:kern w:val="2"/>
          <w:sz w:val="32"/>
          <w:szCs w:val="32"/>
          <w14:textFill>
            <w14:solidFill>
              <w14:schemeClr w14:val="tx1"/>
            </w14:solidFill>
          </w14:textFill>
        </w:rPr>
        <w:t>%；社会保障和就业支出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318.86</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24.95</w:t>
      </w:r>
      <w:r>
        <w:rPr>
          <w:rFonts w:ascii="Times New Roman" w:hAnsi="Times New Roman" w:eastAsia="仿宋_GB2312" w:cs="Times New Roman"/>
          <w:color w:val="000000" w:themeColor="text1"/>
          <w:kern w:val="2"/>
          <w:sz w:val="32"/>
          <w:szCs w:val="32"/>
          <w14:textFill>
            <w14:solidFill>
              <w14:schemeClr w14:val="tx1"/>
            </w14:solidFill>
          </w14:textFill>
        </w:rPr>
        <w:t>%；卫生健康支出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19.74</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1.54</w:t>
      </w:r>
      <w:r>
        <w:rPr>
          <w:rFonts w:ascii="Times New Roman" w:hAnsi="Times New Roman" w:eastAsia="仿宋_GB2312" w:cs="Times New Roman"/>
          <w:color w:val="000000" w:themeColor="text1"/>
          <w:kern w:val="2"/>
          <w:sz w:val="32"/>
          <w:szCs w:val="32"/>
          <w14:textFill>
            <w14:solidFill>
              <w14:schemeClr w14:val="tx1"/>
            </w14:solidFill>
          </w14:textFill>
        </w:rPr>
        <w:t>%；住房保障支出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116.82</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9.15</w:t>
      </w:r>
      <w:r>
        <w:rPr>
          <w:rFonts w:ascii="Times New Roman" w:hAnsi="Times New Roman" w:eastAsia="仿宋_GB2312" w:cs="Times New Roman"/>
          <w:color w:val="000000" w:themeColor="text1"/>
          <w:kern w:val="2"/>
          <w:sz w:val="32"/>
          <w:szCs w:val="32"/>
          <w14:textFill>
            <w14:solidFill>
              <w14:schemeClr w14:val="tx1"/>
            </w14:solidFill>
          </w14:textFill>
        </w:rPr>
        <w:t>%。</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预算相比，收、支总计各增加</w:t>
      </w:r>
      <w:r>
        <w:rPr>
          <w:rFonts w:hint="eastAsia" w:ascii="Times New Roman" w:hAnsi="Times New Roman" w:eastAsia="仿宋_GB2312"/>
          <w:color w:val="000000" w:themeColor="text1"/>
          <w:sz w:val="32"/>
          <w:szCs w:val="32"/>
          <w:lang w:val="en-US" w:eastAsia="zh-CN"/>
          <w14:textFill>
            <w14:solidFill>
              <w14:schemeClr w14:val="tx1"/>
            </w14:solidFill>
          </w14:textFill>
        </w:rPr>
        <w:t>298.55</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30.49</w:t>
      </w:r>
      <w:r>
        <w:rPr>
          <w:rFonts w:ascii="Times New Roman" w:hAnsi="Times New Roman" w:eastAsia="仿宋_GB2312"/>
          <w:color w:val="000000" w:themeColor="text1"/>
          <w:sz w:val="32"/>
          <w:szCs w:val="32"/>
          <w14:textFill>
            <w14:solidFill>
              <w14:schemeClr w14:val="tx1"/>
            </w14:solidFill>
          </w14:textFill>
        </w:rPr>
        <w:t xml:space="preserve"> %。主要原因：一是</w:t>
      </w:r>
      <w:r>
        <w:rPr>
          <w:rFonts w:ascii="仿宋" w:hAnsi="仿宋" w:eastAsia="仿宋" w:cs="仿宋"/>
          <w:i w:val="0"/>
          <w:iCs w:val="0"/>
          <w:caps w:val="0"/>
          <w:color w:val="000000"/>
          <w:spacing w:val="0"/>
          <w:sz w:val="32"/>
          <w:szCs w:val="32"/>
          <w:shd w:val="clear" w:fill="FFFFFF"/>
        </w:rPr>
        <w:t>基本支出中</w:t>
      </w:r>
      <w:r>
        <w:rPr>
          <w:rFonts w:hint="eastAsia" w:ascii="仿宋" w:hAnsi="仿宋" w:eastAsia="仿宋" w:cs="仿宋"/>
          <w:i w:val="0"/>
          <w:iCs w:val="0"/>
          <w:caps w:val="0"/>
          <w:color w:val="000000"/>
          <w:spacing w:val="0"/>
          <w:sz w:val="32"/>
          <w:szCs w:val="32"/>
          <w:shd w:val="clear" w:fill="FFFFFF"/>
          <w:lang w:val="en-US" w:eastAsia="zh-CN"/>
        </w:rPr>
        <w:t>一般公共服务</w:t>
      </w:r>
      <w:r>
        <w:rPr>
          <w:rFonts w:ascii="仿宋" w:hAnsi="仿宋" w:eastAsia="仿宋" w:cs="仿宋"/>
          <w:i w:val="0"/>
          <w:iCs w:val="0"/>
          <w:caps w:val="0"/>
          <w:color w:val="000000"/>
          <w:spacing w:val="0"/>
          <w:sz w:val="32"/>
          <w:szCs w:val="32"/>
          <w:shd w:val="clear" w:fill="FFFFFF"/>
        </w:rPr>
        <w:t>增加</w:t>
      </w:r>
      <w:r>
        <w:rPr>
          <w:rFonts w:hint="eastAsia" w:ascii="仿宋" w:hAnsi="仿宋" w:eastAsia="仿宋" w:cs="仿宋"/>
          <w:i w:val="0"/>
          <w:iCs w:val="0"/>
          <w:caps w:val="0"/>
          <w:color w:val="000000"/>
          <w:spacing w:val="0"/>
          <w:sz w:val="32"/>
          <w:szCs w:val="32"/>
          <w:shd w:val="clear" w:fill="FFFFFF"/>
          <w:lang w:val="en-US" w:eastAsia="zh-CN"/>
        </w:rPr>
        <w:t>89</w:t>
      </w:r>
      <w:r>
        <w:rPr>
          <w:rFonts w:hint="eastAsia" w:ascii="仿宋" w:hAnsi="仿宋" w:eastAsia="仿宋" w:cs="仿宋"/>
          <w:i w:val="0"/>
          <w:iCs w:val="0"/>
          <w:caps w:val="0"/>
          <w:color w:val="000000"/>
          <w:spacing w:val="0"/>
          <w:sz w:val="32"/>
          <w:szCs w:val="32"/>
          <w:shd w:val="clear" w:fill="FFFFFF"/>
        </w:rPr>
        <w:t>万元</w:t>
      </w:r>
      <w:r>
        <w:rPr>
          <w:rFonts w:ascii="Times New Roman" w:hAnsi="Times New Roman" w:eastAsia="仿宋_GB2312"/>
          <w:color w:val="000000" w:themeColor="text1"/>
          <w:sz w:val="32"/>
          <w:szCs w:val="32"/>
          <w14:textFill>
            <w14:solidFill>
              <w14:schemeClr w14:val="tx1"/>
            </w14:solidFill>
          </w14:textFill>
        </w:rPr>
        <w:t>；二是</w:t>
      </w:r>
      <w:r>
        <w:rPr>
          <w:rFonts w:ascii="仿宋" w:hAnsi="仿宋" w:eastAsia="仿宋" w:cs="仿宋"/>
          <w:i w:val="0"/>
          <w:iCs w:val="0"/>
          <w:caps w:val="0"/>
          <w:color w:val="000000"/>
          <w:spacing w:val="0"/>
          <w:sz w:val="32"/>
          <w:szCs w:val="32"/>
          <w:shd w:val="clear" w:fill="FFFFFF"/>
        </w:rPr>
        <w:t>行政事业单位养老支出增加</w:t>
      </w:r>
      <w:r>
        <w:rPr>
          <w:rFonts w:hint="eastAsia" w:ascii="仿宋" w:hAnsi="仿宋" w:eastAsia="仿宋" w:cs="仿宋"/>
          <w:i w:val="0"/>
          <w:iCs w:val="0"/>
          <w:caps w:val="0"/>
          <w:color w:val="000000"/>
          <w:spacing w:val="0"/>
          <w:sz w:val="32"/>
          <w:szCs w:val="32"/>
          <w:shd w:val="clear" w:fill="FFFFFF"/>
          <w:lang w:val="en-US" w:eastAsia="zh-CN"/>
        </w:rPr>
        <w:t>203</w:t>
      </w:r>
      <w:r>
        <w:rPr>
          <w:rFonts w:hint="eastAsia" w:ascii="仿宋" w:hAnsi="仿宋" w:eastAsia="仿宋" w:cs="仿宋"/>
          <w:i w:val="0"/>
          <w:iCs w:val="0"/>
          <w:caps w:val="0"/>
          <w:color w:val="000000"/>
          <w:spacing w:val="0"/>
          <w:sz w:val="32"/>
          <w:szCs w:val="32"/>
          <w:shd w:val="clear" w:fill="FFFFFF"/>
        </w:rPr>
        <w:t>万元</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五</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一般公共预算拨款情况说明</w:t>
      </w:r>
    </w:p>
    <w:p>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（一）一般公共预算拨款规模变化情况。</w:t>
      </w:r>
    </w:p>
    <w:p>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eastAsia="zh-CN"/>
          <w14:textFill>
            <w14:solidFill>
              <w14:schemeClr w14:val="tx1"/>
            </w14:solidFill>
          </w14:textFill>
        </w:rPr>
        <w:t>人大办</w:t>
      </w:r>
      <w:r>
        <w:rPr>
          <w:rFonts w:hint="eastAsia" w:ascii="Times New Roman" w:hAnsi="Times New Roman" w:eastAsia="仿宋_GB2312" w:cs="Times New Roman"/>
          <w:color w:val="000000" w:themeColor="text1"/>
          <w:kern w:val="2"/>
          <w:sz w:val="32"/>
          <w:szCs w:val="32"/>
          <w14:textFill>
            <w14:solidFill>
              <w14:schemeClr w14:val="tx1"/>
            </w14:solidFill>
          </w14:textFill>
        </w:rPr>
        <w:t>2023年</w:t>
      </w:r>
      <w:r>
        <w:rPr>
          <w:rFonts w:ascii="Times New Roman" w:hAnsi="Times New Roman" w:eastAsia="仿宋_GB2312" w:cs="Times New Roman"/>
          <w:color w:val="000000" w:themeColor="text1"/>
          <w:kern w:val="2"/>
          <w:sz w:val="32"/>
          <w:szCs w:val="32"/>
          <w14:textFill>
            <w14:solidFill>
              <w14:schemeClr w14:val="tx1"/>
            </w14:solidFill>
          </w14:textFill>
        </w:rPr>
        <w:t>一般公共预算拨款</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ascii="Times New Roman" w:hAnsi="Times New Roman" w:eastAsia="仿宋_GB2312" w:cs="Times New Roman"/>
          <w:color w:val="000000" w:themeColor="text1"/>
          <w:sz w:val="32"/>
          <w:szCs w:val="32"/>
          <w14:textFill>
            <w14:solidFill>
              <w14:schemeClr w14:val="tx1"/>
            </w14:solidFill>
          </w14:textFill>
        </w:rPr>
        <w:t>万元</w:t>
      </w:r>
      <w:r>
        <w:rPr>
          <w:rFonts w:ascii="Times New Roman" w:hAnsi="Times New Roman" w:eastAsia="仿宋_GB2312" w:cs="Times New Roman"/>
          <w:color w:val="000000" w:themeColor="text1"/>
          <w:kern w:val="2"/>
          <w:sz w:val="32"/>
          <w:szCs w:val="32"/>
          <w14:textFill>
            <w14:solidFill>
              <w14:schemeClr w14:val="tx1"/>
            </w14:solidFill>
          </w14:textFill>
        </w:rPr>
        <w:t>，比</w:t>
      </w:r>
      <w:r>
        <w:rPr>
          <w:rFonts w:hint="eastAsia" w:ascii="Times New Roman" w:hAnsi="Times New Roman" w:eastAsia="仿宋_GB2312" w:cs="Times New Roman"/>
          <w:color w:val="000000" w:themeColor="text1"/>
          <w:kern w:val="2"/>
          <w:sz w:val="32"/>
          <w:szCs w:val="32"/>
          <w14:textFill>
            <w14:solidFill>
              <w14:schemeClr w14:val="tx1"/>
            </w14:solidFill>
          </w14:textFill>
        </w:rPr>
        <w:t>2022年</w:t>
      </w:r>
      <w:r>
        <w:rPr>
          <w:rFonts w:ascii="Times New Roman" w:hAnsi="Times New Roman" w:eastAsia="仿宋_GB2312" w:cs="Times New Roman"/>
          <w:color w:val="000000" w:themeColor="text1"/>
          <w:kern w:val="2"/>
          <w:sz w:val="32"/>
          <w:szCs w:val="32"/>
          <w14:textFill>
            <w14:solidFill>
              <w14:schemeClr w14:val="tx1"/>
            </w14:solidFill>
          </w14:textFill>
        </w:rPr>
        <w:t>预算拨款增加</w:t>
      </w:r>
      <w:r>
        <w:rPr>
          <w:rFonts w:hint="eastAsia" w:ascii="Times New Roman" w:hAnsi="Times New Roman" w:eastAsia="仿宋_GB2312"/>
          <w:color w:val="000000" w:themeColor="text1"/>
          <w:sz w:val="32"/>
          <w:szCs w:val="32"/>
          <w:lang w:val="en-US" w:eastAsia="zh-CN"/>
          <w14:textFill>
            <w14:solidFill>
              <w14:schemeClr w14:val="tx1"/>
            </w14:solidFill>
          </w14:textFill>
        </w:rPr>
        <w:t>298.55</w:t>
      </w:r>
      <w:r>
        <w:rPr>
          <w:rFonts w:ascii="Times New Roman" w:hAnsi="Times New Roman" w:eastAsia="仿宋_GB2312" w:cs="Times New Roman"/>
          <w:color w:val="000000" w:themeColor="text1"/>
          <w:kern w:val="2"/>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30.49</w:t>
      </w:r>
      <w:r>
        <w:rPr>
          <w:rFonts w:ascii="Times New Roman" w:hAnsi="Times New Roman" w:eastAsia="仿宋_GB2312" w:cs="Times New Roman"/>
          <w:color w:val="000000" w:themeColor="text1"/>
          <w:kern w:val="2"/>
          <w:sz w:val="32"/>
          <w:szCs w:val="32"/>
          <w14:textFill>
            <w14:solidFill>
              <w14:schemeClr w14:val="tx1"/>
            </w14:solidFill>
          </w14:textFill>
        </w:rPr>
        <w:t>%，主要原因：</w:t>
      </w:r>
      <w:r>
        <w:rPr>
          <w:rFonts w:ascii="Times New Roman" w:hAnsi="Times New Roman" w:eastAsia="仿宋_GB2312"/>
          <w:color w:val="000000" w:themeColor="text1"/>
          <w:sz w:val="32"/>
          <w:szCs w:val="32"/>
          <w14:textFill>
            <w14:solidFill>
              <w14:schemeClr w14:val="tx1"/>
            </w14:solidFill>
          </w14:textFill>
        </w:rPr>
        <w:t>一是</w:t>
      </w:r>
      <w:r>
        <w:rPr>
          <w:rFonts w:ascii="仿宋" w:hAnsi="仿宋" w:eastAsia="仿宋" w:cs="仿宋"/>
          <w:i w:val="0"/>
          <w:iCs w:val="0"/>
          <w:caps w:val="0"/>
          <w:color w:val="000000"/>
          <w:spacing w:val="0"/>
          <w:sz w:val="32"/>
          <w:szCs w:val="32"/>
          <w:shd w:val="clear" w:fill="FFFFFF"/>
        </w:rPr>
        <w:t>基本支出中</w:t>
      </w:r>
      <w:r>
        <w:rPr>
          <w:rFonts w:hint="eastAsia" w:ascii="仿宋" w:hAnsi="仿宋" w:eastAsia="仿宋" w:cs="仿宋"/>
          <w:i w:val="0"/>
          <w:iCs w:val="0"/>
          <w:caps w:val="0"/>
          <w:color w:val="000000"/>
          <w:spacing w:val="0"/>
          <w:sz w:val="32"/>
          <w:szCs w:val="32"/>
          <w:shd w:val="clear" w:fill="FFFFFF"/>
          <w:lang w:val="en-US" w:eastAsia="zh-CN"/>
        </w:rPr>
        <w:t>一般公共服务</w:t>
      </w:r>
      <w:r>
        <w:rPr>
          <w:rFonts w:ascii="仿宋" w:hAnsi="仿宋" w:eastAsia="仿宋" w:cs="仿宋"/>
          <w:i w:val="0"/>
          <w:iCs w:val="0"/>
          <w:caps w:val="0"/>
          <w:color w:val="000000"/>
          <w:spacing w:val="0"/>
          <w:sz w:val="32"/>
          <w:szCs w:val="32"/>
          <w:shd w:val="clear" w:fill="FFFFFF"/>
        </w:rPr>
        <w:t>增加</w:t>
      </w:r>
      <w:r>
        <w:rPr>
          <w:rFonts w:hint="eastAsia" w:ascii="仿宋" w:hAnsi="仿宋" w:eastAsia="仿宋" w:cs="仿宋"/>
          <w:i w:val="0"/>
          <w:iCs w:val="0"/>
          <w:caps w:val="0"/>
          <w:color w:val="000000"/>
          <w:spacing w:val="0"/>
          <w:sz w:val="32"/>
          <w:szCs w:val="32"/>
          <w:shd w:val="clear" w:fill="FFFFFF"/>
          <w:lang w:val="en-US" w:eastAsia="zh-CN"/>
        </w:rPr>
        <w:t>89</w:t>
      </w:r>
      <w:r>
        <w:rPr>
          <w:rFonts w:hint="eastAsia" w:ascii="仿宋" w:hAnsi="仿宋" w:eastAsia="仿宋" w:cs="仿宋"/>
          <w:i w:val="0"/>
          <w:iCs w:val="0"/>
          <w:caps w:val="0"/>
          <w:color w:val="000000"/>
          <w:spacing w:val="0"/>
          <w:sz w:val="32"/>
          <w:szCs w:val="32"/>
          <w:shd w:val="clear" w:fill="FFFFFF"/>
        </w:rPr>
        <w:t>万元</w:t>
      </w:r>
      <w:r>
        <w:rPr>
          <w:rFonts w:ascii="Times New Roman" w:hAnsi="Times New Roman" w:eastAsia="仿宋_GB2312"/>
          <w:color w:val="000000" w:themeColor="text1"/>
          <w:sz w:val="32"/>
          <w:szCs w:val="32"/>
          <w14:textFill>
            <w14:solidFill>
              <w14:schemeClr w14:val="tx1"/>
            </w14:solidFill>
          </w14:textFill>
        </w:rPr>
        <w:t>；二是</w:t>
      </w:r>
      <w:r>
        <w:rPr>
          <w:rFonts w:ascii="仿宋" w:hAnsi="仿宋" w:eastAsia="仿宋" w:cs="仿宋"/>
          <w:i w:val="0"/>
          <w:iCs w:val="0"/>
          <w:caps w:val="0"/>
          <w:color w:val="000000"/>
          <w:spacing w:val="0"/>
          <w:sz w:val="32"/>
          <w:szCs w:val="32"/>
          <w:shd w:val="clear" w:fill="FFFFFF"/>
        </w:rPr>
        <w:t>行政事业单位养老支出增加</w:t>
      </w:r>
      <w:r>
        <w:rPr>
          <w:rFonts w:hint="eastAsia" w:ascii="仿宋" w:hAnsi="仿宋" w:eastAsia="仿宋" w:cs="仿宋"/>
          <w:i w:val="0"/>
          <w:iCs w:val="0"/>
          <w:caps w:val="0"/>
          <w:color w:val="000000"/>
          <w:spacing w:val="0"/>
          <w:sz w:val="32"/>
          <w:szCs w:val="32"/>
          <w:shd w:val="clear" w:fill="FFFFFF"/>
          <w:lang w:val="en-US" w:eastAsia="zh-CN"/>
        </w:rPr>
        <w:t>203</w:t>
      </w:r>
      <w:r>
        <w:rPr>
          <w:rFonts w:hint="eastAsia" w:ascii="仿宋" w:hAnsi="仿宋" w:eastAsia="仿宋" w:cs="仿宋"/>
          <w:i w:val="0"/>
          <w:iCs w:val="0"/>
          <w:caps w:val="0"/>
          <w:color w:val="000000"/>
          <w:spacing w:val="0"/>
          <w:sz w:val="32"/>
          <w:szCs w:val="32"/>
          <w:shd w:val="clear" w:fill="FFFFFF"/>
        </w:rPr>
        <w:t>万元</w:t>
      </w:r>
      <w:r>
        <w:rPr>
          <w:rFonts w:ascii="Times New Roman" w:hAnsi="Times New Roman" w:eastAsia="仿宋_GB2312" w:cs="Times New Roman"/>
          <w:color w:val="000000" w:themeColor="text1"/>
          <w:kern w:val="2"/>
          <w:sz w:val="32"/>
          <w:szCs w:val="32"/>
          <w14:textFill>
            <w14:solidFill>
              <w14:schemeClr w14:val="tx1"/>
            </w14:solidFill>
          </w14:textFill>
        </w:rPr>
        <w:t>。</w:t>
      </w:r>
    </w:p>
    <w:p>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（二）一般公共预算拨款结构情况。</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一般公共服务支出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822.41</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64.36</w:t>
      </w:r>
      <w:r>
        <w:rPr>
          <w:rFonts w:ascii="Times New Roman" w:hAnsi="Times New Roman" w:eastAsia="仿宋_GB2312" w:cs="Times New Roman"/>
          <w:color w:val="000000" w:themeColor="text1"/>
          <w:kern w:val="2"/>
          <w:sz w:val="32"/>
          <w:szCs w:val="32"/>
          <w14:textFill>
            <w14:solidFill>
              <w14:schemeClr w14:val="tx1"/>
            </w14:solidFill>
          </w14:textFill>
        </w:rPr>
        <w:t>%；社会保障和就业支出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318.86</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24.95</w:t>
      </w:r>
      <w:r>
        <w:rPr>
          <w:rFonts w:ascii="Times New Roman" w:hAnsi="Times New Roman" w:eastAsia="仿宋_GB2312" w:cs="Times New Roman"/>
          <w:color w:val="000000" w:themeColor="text1"/>
          <w:kern w:val="2"/>
          <w:sz w:val="32"/>
          <w:szCs w:val="32"/>
          <w14:textFill>
            <w14:solidFill>
              <w14:schemeClr w14:val="tx1"/>
            </w14:solidFill>
          </w14:textFill>
        </w:rPr>
        <w:t>%；卫生健康支出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19.74</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1.54</w:t>
      </w:r>
      <w:r>
        <w:rPr>
          <w:rFonts w:ascii="Times New Roman" w:hAnsi="Times New Roman" w:eastAsia="仿宋_GB2312" w:cs="Times New Roman"/>
          <w:color w:val="000000" w:themeColor="text1"/>
          <w:kern w:val="2"/>
          <w:sz w:val="32"/>
          <w:szCs w:val="32"/>
          <w14:textFill>
            <w14:solidFill>
              <w14:schemeClr w14:val="tx1"/>
            </w14:solidFill>
          </w14:textFill>
        </w:rPr>
        <w:t>%；住房保障支出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116.82</w:t>
      </w:r>
      <w:r>
        <w:rPr>
          <w:rFonts w:ascii="Times New Roman" w:hAnsi="Times New Roman" w:eastAsia="仿宋_GB2312" w:cs="Times New Roman"/>
          <w:color w:val="000000" w:themeColor="text1"/>
          <w:kern w:val="2"/>
          <w:sz w:val="32"/>
          <w:szCs w:val="32"/>
          <w14:textFill>
            <w14:solidFill>
              <w14:schemeClr w14:val="tx1"/>
            </w14:solidFill>
          </w14:textFill>
        </w:rPr>
        <w:t>万元，占</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9.15</w:t>
      </w:r>
      <w:r>
        <w:rPr>
          <w:rFonts w:ascii="Times New Roman" w:hAnsi="Times New Roman" w:eastAsia="仿宋_GB2312" w:cs="Times New Roman"/>
          <w:color w:val="000000" w:themeColor="text1"/>
          <w:kern w:val="2"/>
          <w:sz w:val="32"/>
          <w:szCs w:val="32"/>
          <w14:textFill>
            <w14:solidFill>
              <w14:schemeClr w14:val="tx1"/>
            </w14:solidFill>
          </w14:textFill>
        </w:rPr>
        <w:t>%。</w:t>
      </w:r>
    </w:p>
    <w:p>
      <w:pPr>
        <w:spacing w:line="560" w:lineRule="exact"/>
        <w:ind w:firstLine="643" w:firstLineChars="200"/>
        <w:rPr>
          <w:rFonts w:ascii="Times New Roman" w:hAnsi="Times New Roman" w:eastAsia="楷体"/>
          <w:b/>
          <w:color w:val="000000" w:themeColor="text1"/>
          <w:sz w:val="32"/>
          <w:szCs w:val="32"/>
          <w14:textFill>
            <w14:solidFill>
              <w14:schemeClr w14:val="tx1"/>
            </w14:solidFill>
          </w14:textFill>
        </w:rPr>
      </w:pPr>
      <w:r>
        <w:rPr>
          <w:rFonts w:ascii="Times New Roman" w:hAnsi="Times New Roman" w:eastAsia="楷体"/>
          <w:b/>
          <w:color w:val="000000" w:themeColor="text1"/>
          <w:sz w:val="32"/>
          <w:szCs w:val="32"/>
          <w14:textFill>
            <w14:solidFill>
              <w14:schemeClr w14:val="tx1"/>
            </w14:solidFill>
          </w14:textFill>
        </w:rPr>
        <w:t>（三）一般公共预算拨款具体使用情况。</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1.</w:t>
      </w:r>
      <w:r>
        <w:rPr>
          <w:rFonts w:ascii="Times New Roman" w:hAnsi="Times New Roman"/>
          <w:b/>
          <w:color w:val="000000" w:themeColor="text1"/>
          <w:szCs w:val="32"/>
          <w14:textFill>
            <w14:solidFill>
              <w14:schemeClr w14:val="tx1"/>
            </w14:solidFill>
          </w14:textFill>
        </w:rPr>
        <w:t xml:space="preserve"> </w:t>
      </w:r>
      <w:r>
        <w:rPr>
          <w:rFonts w:ascii="仿宋" w:hAnsi="仿宋" w:eastAsia="仿宋" w:cs="仿宋"/>
          <w:b/>
          <w:bCs/>
          <w:i w:val="0"/>
          <w:iCs w:val="0"/>
          <w:caps w:val="0"/>
          <w:color w:val="000000"/>
          <w:spacing w:val="0"/>
          <w:sz w:val="32"/>
          <w:szCs w:val="32"/>
          <w:shd w:val="clear" w:fill="FFFFFF"/>
        </w:rPr>
        <w:t>一般公共服务支出（类）人大事务（款）行政运行（项）</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822.41</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313.23</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61.52</w:t>
      </w:r>
      <w:r>
        <w:rPr>
          <w:rFonts w:ascii="Times New Roman" w:hAnsi="Times New Roman" w:eastAsia="仿宋_GB2312"/>
          <w:color w:val="000000" w:themeColor="text1"/>
          <w:sz w:val="32"/>
          <w:szCs w:val="32"/>
          <w14:textFill>
            <w14:solidFill>
              <w14:schemeClr w14:val="tx1"/>
            </w14:solidFill>
          </w14:textFill>
        </w:rPr>
        <w:t>%，增长原因主要是人大常委会、人代会、代表履职提升、有巢氏文化研究、人大研究会、人大外宣信访等</w:t>
      </w:r>
      <w:r>
        <w:rPr>
          <w:rFonts w:hint="eastAsia" w:ascii="Times New Roman" w:hAnsi="Times New Roman" w:eastAsia="仿宋_GB2312"/>
          <w:color w:val="000000" w:themeColor="text1"/>
          <w:sz w:val="32"/>
          <w:szCs w:val="32"/>
          <w:lang w:val="en-US" w:eastAsia="zh-CN"/>
          <w14:textFill>
            <w14:solidFill>
              <w14:schemeClr w14:val="tx1"/>
            </w14:solidFill>
          </w14:textFill>
        </w:rPr>
        <w:t>工作经费列入该指标</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2.社会保障和就业支出（类）行政事业单位养老支出（款）行政单位离退休（项）</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198.85</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154.32</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346.55</w:t>
      </w:r>
      <w:r>
        <w:rPr>
          <w:rFonts w:ascii="Times New Roman" w:hAnsi="Times New Roman" w:eastAsia="仿宋_GB2312"/>
          <w:color w:val="000000" w:themeColor="text1"/>
          <w:sz w:val="32"/>
          <w:szCs w:val="32"/>
          <w14:textFill>
            <w14:solidFill>
              <w14:schemeClr w14:val="tx1"/>
            </w14:solidFill>
          </w14:textFill>
        </w:rPr>
        <w:t>%，增长原因主要是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离退休人员增加及离退休老干部经费增加</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lang w:val="en-US" w:eastAsia="zh-CN"/>
          <w14:textFill>
            <w14:solidFill>
              <w14:schemeClr w14:val="tx1"/>
            </w14:solidFill>
          </w14:textFill>
        </w:rPr>
        <w:t>3.</w:t>
      </w:r>
      <w:r>
        <w:rPr>
          <w:rFonts w:ascii="仿宋" w:hAnsi="仿宋" w:eastAsia="仿宋" w:cs="仿宋"/>
          <w:b/>
          <w:bCs/>
          <w:i w:val="0"/>
          <w:iCs w:val="0"/>
          <w:caps w:val="0"/>
          <w:color w:val="000000"/>
          <w:spacing w:val="0"/>
          <w:sz w:val="32"/>
          <w:szCs w:val="32"/>
          <w:shd w:val="clear" w:fill="FFFFFF"/>
        </w:rPr>
        <w:t>社会保障和就业支出（类）行政事业单位养老支出（款）机关事业单位基本养老保险缴费支出（项）</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80</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32.22</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67.43</w:t>
      </w:r>
      <w:r>
        <w:rPr>
          <w:rFonts w:ascii="Times New Roman" w:hAnsi="Times New Roman" w:eastAsia="仿宋_GB2312"/>
          <w:color w:val="000000" w:themeColor="text1"/>
          <w:sz w:val="32"/>
          <w:szCs w:val="32"/>
          <w14:textFill>
            <w14:solidFill>
              <w14:schemeClr w14:val="tx1"/>
            </w14:solidFill>
          </w14:textFill>
        </w:rPr>
        <w:t>%，增长原因主要是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工资基数调整及人员增加</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3"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b/>
          <w:color w:val="000000" w:themeColor="text1"/>
          <w:sz w:val="32"/>
          <w:szCs w:val="32"/>
          <w:lang w:val="en-US" w:eastAsia="zh-CN"/>
          <w14:textFill>
            <w14:solidFill>
              <w14:schemeClr w14:val="tx1"/>
            </w14:solidFill>
          </w14:textFill>
        </w:rPr>
        <w:t>4.</w:t>
      </w:r>
      <w:r>
        <w:rPr>
          <w:rFonts w:ascii="仿宋" w:hAnsi="仿宋" w:eastAsia="仿宋" w:cs="仿宋"/>
          <w:b/>
          <w:bCs/>
          <w:i w:val="0"/>
          <w:iCs w:val="0"/>
          <w:caps w:val="0"/>
          <w:color w:val="000000"/>
          <w:spacing w:val="0"/>
          <w:sz w:val="32"/>
          <w:szCs w:val="32"/>
          <w:shd w:val="clear" w:fill="FFFFFF"/>
        </w:rPr>
        <w:t>社会保障和就业支出（类）行政事业单位养老支出（款）机关事业单位职业年金缴费支出（项）</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40</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16.11</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67.43</w:t>
      </w:r>
      <w:r>
        <w:rPr>
          <w:rFonts w:ascii="Times New Roman" w:hAnsi="Times New Roman" w:eastAsia="仿宋_GB2312"/>
          <w:color w:val="000000" w:themeColor="text1"/>
          <w:sz w:val="32"/>
          <w:szCs w:val="32"/>
          <w14:textFill>
            <w14:solidFill>
              <w14:schemeClr w14:val="tx1"/>
            </w14:solidFill>
          </w14:textFill>
        </w:rPr>
        <w:t>%，增长原因主要是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工资基数调整及人员增加</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3"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b/>
          <w:color w:val="000000" w:themeColor="text1"/>
          <w:sz w:val="32"/>
          <w:szCs w:val="32"/>
          <w:lang w:val="en-US" w:eastAsia="zh-CN"/>
          <w14:textFill>
            <w14:solidFill>
              <w14:schemeClr w14:val="tx1"/>
            </w14:solidFill>
          </w14:textFill>
        </w:rPr>
        <w:t>5</w:t>
      </w:r>
      <w:r>
        <w:rPr>
          <w:rFonts w:ascii="Times New Roman" w:hAnsi="Times New Roman" w:eastAsia="仿宋_GB2312"/>
          <w:b/>
          <w:color w:val="000000" w:themeColor="text1"/>
          <w:sz w:val="32"/>
          <w:szCs w:val="32"/>
          <w14:textFill>
            <w14:solidFill>
              <w14:schemeClr w14:val="tx1"/>
            </w14:solidFill>
          </w14:textFill>
        </w:rPr>
        <w:t>.</w:t>
      </w:r>
      <w:r>
        <w:rPr>
          <w:rFonts w:ascii="仿宋" w:hAnsi="仿宋" w:eastAsia="仿宋" w:cs="仿宋"/>
          <w:b/>
          <w:bCs/>
          <w:i w:val="0"/>
          <w:iCs w:val="0"/>
          <w:caps w:val="0"/>
          <w:color w:val="000000"/>
          <w:spacing w:val="0"/>
          <w:sz w:val="32"/>
          <w:szCs w:val="32"/>
          <w:shd w:val="clear" w:fill="FFFFFF"/>
        </w:rPr>
        <w:t>卫生健康支出（类）行政事业单位医疗（款）行政单位医疗（项）</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19.74</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减少0.04</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val="en-US" w:eastAsia="zh-CN"/>
          <w14:textFill>
            <w14:solidFill>
              <w14:schemeClr w14:val="tx1"/>
            </w14:solidFill>
          </w14:textFill>
        </w:rPr>
        <w:t>下降0.20</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下降</w:t>
      </w:r>
      <w:r>
        <w:rPr>
          <w:rFonts w:ascii="Times New Roman" w:hAnsi="Times New Roman" w:eastAsia="仿宋_GB2312"/>
          <w:color w:val="000000" w:themeColor="text1"/>
          <w:sz w:val="32"/>
          <w:szCs w:val="32"/>
          <w14:textFill>
            <w14:solidFill>
              <w14:schemeClr w14:val="tx1"/>
            </w14:solidFill>
          </w14:textFill>
        </w:rPr>
        <w:t>原因主要是降低了医保缴费</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lang w:val="en-US" w:eastAsia="zh-CN"/>
          <w14:textFill>
            <w14:solidFill>
              <w14:schemeClr w14:val="tx1"/>
            </w14:solidFill>
          </w14:textFill>
        </w:rPr>
        <w:t>6.</w:t>
      </w:r>
      <w:r>
        <w:rPr>
          <w:rFonts w:ascii="Times New Roman" w:hAnsi="Times New Roman" w:eastAsia="仿宋_GB2312"/>
          <w:b/>
          <w:color w:val="000000" w:themeColor="text1"/>
          <w:sz w:val="32"/>
          <w:szCs w:val="32"/>
          <w14:textFill>
            <w14:solidFill>
              <w14:schemeClr w14:val="tx1"/>
            </w14:solidFill>
          </w14:textFill>
        </w:rPr>
        <w:t>住房保障支出（类）住房改革支出（款）住房公积金（项）</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72.94</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3.03</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4.33</w:t>
      </w:r>
      <w:r>
        <w:rPr>
          <w:rFonts w:ascii="Times New Roman" w:hAnsi="Times New Roman" w:eastAsia="仿宋_GB2312"/>
          <w:color w:val="000000" w:themeColor="text1"/>
          <w:sz w:val="32"/>
          <w:szCs w:val="32"/>
          <w14:textFill>
            <w14:solidFill>
              <w14:schemeClr w14:val="tx1"/>
            </w14:solidFill>
          </w14:textFill>
        </w:rPr>
        <w:t>%，增长原因主要是缴存基数调整。</w:t>
      </w:r>
    </w:p>
    <w:p>
      <w:pPr>
        <w:spacing w:line="560" w:lineRule="exact"/>
        <w:ind w:firstLine="643" w:firstLineChars="200"/>
        <w:rPr>
          <w:rFonts w:hint="eastAsia" w:ascii="Times New Roman" w:hAnsi="Times New Roman" w:eastAsia="仿宋_GB2312"/>
          <w:b/>
          <w:color w:val="000000" w:themeColor="text1"/>
          <w:sz w:val="32"/>
          <w:szCs w:val="32"/>
          <w:lang w:val="en-US" w:eastAsia="zh-CN"/>
          <w14:textFill>
            <w14:solidFill>
              <w14:schemeClr w14:val="tx1"/>
            </w14:solidFill>
          </w14:textFill>
        </w:rPr>
      </w:pPr>
      <w:r>
        <w:rPr>
          <w:rFonts w:hint="eastAsia" w:ascii="Times New Roman" w:hAnsi="Times New Roman" w:eastAsia="仿宋_GB2312"/>
          <w:b/>
          <w:color w:val="000000" w:themeColor="text1"/>
          <w:sz w:val="32"/>
          <w:szCs w:val="32"/>
          <w:lang w:val="en-US" w:eastAsia="zh-CN"/>
          <w14:textFill>
            <w14:solidFill>
              <w14:schemeClr w14:val="tx1"/>
            </w14:solidFill>
          </w14:textFill>
        </w:rPr>
        <w:t>7.</w:t>
      </w:r>
      <w:r>
        <w:rPr>
          <w:rFonts w:ascii="仿宋" w:hAnsi="仿宋" w:eastAsia="仿宋" w:cs="仿宋"/>
          <w:b/>
          <w:bCs/>
          <w:i w:val="0"/>
          <w:iCs w:val="0"/>
          <w:caps w:val="0"/>
          <w:color w:val="000000"/>
          <w:spacing w:val="0"/>
          <w:sz w:val="32"/>
          <w:szCs w:val="32"/>
          <w:shd w:val="clear" w:fill="FFFFFF"/>
        </w:rPr>
        <w:t>住房保障支出（类）住房改革支出（款）提租补贴（项）</w:t>
      </w:r>
      <w:r>
        <w:rPr>
          <w:rFonts w:hint="eastAsia" w:ascii="仿宋" w:hAnsi="仿宋" w:eastAsia="仿宋" w:cs="仿宋"/>
          <w:b/>
          <w:bCs/>
          <w:i w:val="0"/>
          <w:iCs w:val="0"/>
          <w:caps w:val="0"/>
          <w:color w:val="000000"/>
          <w:spacing w:val="0"/>
          <w:sz w:val="32"/>
          <w:szCs w:val="32"/>
          <w:shd w:val="clear" w:fill="FFFFFF"/>
          <w:lang w:val="en-US" w:eastAsia="zh-CN"/>
        </w:rPr>
        <w:t>2</w:t>
      </w:r>
      <w:r>
        <w:rPr>
          <w:rFonts w:hint="eastAsia" w:ascii="Times New Roman" w:hAnsi="Times New Roman" w:eastAsia="仿宋_GB2312"/>
          <w:color w:val="000000" w:themeColor="text1"/>
          <w:sz w:val="32"/>
          <w:szCs w:val="32"/>
          <w14:textFill>
            <w14:solidFill>
              <w14:schemeClr w14:val="tx1"/>
            </w14:solidFill>
          </w14:textFill>
        </w:rPr>
        <w:t>023年</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lang w:val="en-US" w:eastAsia="zh-CN"/>
          <w14:textFill>
            <w14:solidFill>
              <w14:schemeClr w14:val="tx1"/>
            </w14:solidFill>
          </w14:textFill>
        </w:rPr>
        <w:t>43.88</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预算增加</w:t>
      </w:r>
      <w:r>
        <w:rPr>
          <w:rFonts w:hint="eastAsia" w:ascii="Times New Roman" w:hAnsi="Times New Roman" w:eastAsia="仿宋_GB2312"/>
          <w:color w:val="000000" w:themeColor="text1"/>
          <w:sz w:val="32"/>
          <w:szCs w:val="32"/>
          <w:lang w:val="en-US" w:eastAsia="zh-CN"/>
          <w14:textFill>
            <w14:solidFill>
              <w14:schemeClr w14:val="tx1"/>
            </w14:solidFill>
          </w14:textFill>
        </w:rPr>
        <w:t>3.66</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9.10</w:t>
      </w:r>
      <w:r>
        <w:rPr>
          <w:rFonts w:ascii="Times New Roman" w:hAnsi="Times New Roman" w:eastAsia="仿宋_GB2312"/>
          <w:color w:val="000000" w:themeColor="text1"/>
          <w:sz w:val="32"/>
          <w:szCs w:val="32"/>
          <w14:textFill>
            <w14:solidFill>
              <w14:schemeClr w14:val="tx1"/>
            </w14:solidFill>
          </w14:textFill>
        </w:rPr>
        <w:t>%，增长原因主要是缴存基数调整。</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六</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一般公共预算基本支出情况说明</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hint="eastAsia" w:ascii="Times New Roman" w:hAnsi="Times New Roman" w:eastAsia="仿宋_GB2312"/>
          <w:color w:val="000000" w:themeColor="text1"/>
          <w:sz w:val="32"/>
          <w:szCs w:val="32"/>
          <w:u w:val="none"/>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023年</w:t>
      </w:r>
      <w:r>
        <w:rPr>
          <w:rFonts w:ascii="Times New Roman" w:hAnsi="Times New Roman" w:eastAsia="仿宋_GB2312"/>
          <w:color w:val="000000" w:themeColor="text1"/>
          <w:sz w:val="32"/>
          <w:szCs w:val="32"/>
          <w14:textFill>
            <w14:solidFill>
              <w14:schemeClr w14:val="tx1"/>
            </w14:solidFill>
          </w14:textFill>
        </w:rPr>
        <w:t>一般公共预算基本支出</w:t>
      </w:r>
      <w:r>
        <w:rPr>
          <w:rFonts w:hint="eastAsia" w:ascii="Times New Roman" w:hAnsi="Times New Roman" w:eastAsia="仿宋_GB2312"/>
          <w:color w:val="000000" w:themeColor="text1"/>
          <w:sz w:val="32"/>
          <w:szCs w:val="32"/>
          <w:lang w:val="en-US" w:eastAsia="zh-CN"/>
          <w14:textFill>
            <w14:solidFill>
              <w14:schemeClr w14:val="tx1"/>
            </w14:solidFill>
          </w14:textFill>
        </w:rPr>
        <w:t>1277.83</w:t>
      </w:r>
      <w:r>
        <w:rPr>
          <w:rFonts w:ascii="Times New Roman" w:hAnsi="Times New Roman" w:eastAsia="仿宋_GB2312"/>
          <w:color w:val="000000" w:themeColor="text1"/>
          <w:sz w:val="32"/>
          <w:szCs w:val="32"/>
          <w14:textFill>
            <w14:solidFill>
              <w14:schemeClr w14:val="tx1"/>
            </w14:solidFill>
          </w14:textFill>
        </w:rPr>
        <w:t>万元，其中：</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工资福利支出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815.34</w:t>
      </w:r>
      <w:r>
        <w:rPr>
          <w:rFonts w:ascii="Times New Roman" w:hAnsi="Times New Roman" w:eastAsia="仿宋_GB2312" w:cs="Times New Roman"/>
          <w:color w:val="000000" w:themeColor="text1"/>
          <w:sz w:val="32"/>
          <w:szCs w:val="32"/>
          <w14:textFill>
            <w14:solidFill>
              <w14:schemeClr w14:val="tx1"/>
            </w14:solidFill>
          </w14:textFill>
        </w:rPr>
        <w:t>万元，主要包括：基本工资、津贴补贴、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奖金、</w:t>
      </w:r>
      <w:r>
        <w:rPr>
          <w:rFonts w:ascii="Times New Roman" w:hAnsi="Times New Roman" w:eastAsia="仿宋_GB2312" w:cs="Times New Roman"/>
          <w:color w:val="000000" w:themeColor="text1"/>
          <w:sz w:val="32"/>
          <w:szCs w:val="32"/>
          <w14:textFill>
            <w14:solidFill>
              <w14:schemeClr w14:val="tx1"/>
            </w14:solidFill>
          </w14:textFill>
        </w:rPr>
        <w:t>机关事业单位基本养老保险缴费、职业年金缴费、职工基本医疗保险缴费、住房公积金、其他工资福利支出等。</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商品和服务支出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167.90</w:t>
      </w:r>
      <w:r>
        <w:rPr>
          <w:rFonts w:ascii="Times New Roman" w:hAnsi="Times New Roman" w:eastAsia="仿宋_GB2312" w:cs="Times New Roman"/>
          <w:color w:val="000000" w:themeColor="text1"/>
          <w:sz w:val="32"/>
          <w:szCs w:val="32"/>
          <w14:textFill>
            <w14:solidFill>
              <w14:schemeClr w14:val="tx1"/>
            </w14:solidFill>
          </w14:textFill>
        </w:rPr>
        <w:t>万元，主要包括：办公费、印刷费、咨询费、邮电费、差旅费、维修（护）费、租赁费、会议费、培训费、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公务接待费、</w:t>
      </w:r>
      <w:r>
        <w:rPr>
          <w:rFonts w:ascii="Times New Roman" w:hAnsi="Times New Roman" w:eastAsia="仿宋_GB2312" w:cs="Times New Roman"/>
          <w:color w:val="000000" w:themeColor="text1"/>
          <w:sz w:val="32"/>
          <w:szCs w:val="32"/>
          <w14:textFill>
            <w14:solidFill>
              <w14:schemeClr w14:val="tx1"/>
            </w14:solidFill>
          </w14:textFill>
        </w:rPr>
        <w:t>劳务费、工会经费、福利费、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公务用车运行维护费</w:t>
      </w:r>
      <w:r>
        <w:rPr>
          <w:rFonts w:ascii="Times New Roman" w:hAnsi="Times New Roman" w:eastAsia="仿宋_GB2312" w:cs="Times New Roman"/>
          <w:color w:val="000000" w:themeColor="text1"/>
          <w:sz w:val="32"/>
          <w:szCs w:val="32"/>
          <w14:textFill>
            <w14:solidFill>
              <w14:schemeClr w14:val="tx1"/>
            </w14:solidFill>
          </w14:textFill>
        </w:rPr>
        <w:t>、其他商品和服务支出等。</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对个人和家庭的补助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294.58</w:t>
      </w:r>
      <w:r>
        <w:rPr>
          <w:rFonts w:ascii="Times New Roman" w:hAnsi="Times New Roman" w:eastAsia="仿宋_GB2312" w:cs="Times New Roman"/>
          <w:color w:val="000000" w:themeColor="text1"/>
          <w:sz w:val="32"/>
          <w:szCs w:val="32"/>
          <w14:textFill>
            <w14:solidFill>
              <w14:schemeClr w14:val="tx1"/>
            </w14:solidFill>
          </w14:textFill>
        </w:rPr>
        <w:t>万元，主要包括：离休费、退休费、其他对个人和家庭的补助等。</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七</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政府性基金预算拨款情况说明</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hint="eastAsia" w:ascii="Times New Roman" w:hAnsi="Times New Roman" w:eastAsia="仿宋_GB2312" w:cs="Times New Roman"/>
          <w:color w:val="000000" w:themeColor="text1"/>
          <w:sz w:val="32"/>
          <w:szCs w:val="32"/>
          <w14:textFill>
            <w14:solidFill>
              <w14:schemeClr w14:val="tx1"/>
            </w14:solidFill>
          </w14:textFill>
        </w:rPr>
        <w:t>2023年</w:t>
      </w:r>
      <w:r>
        <w:rPr>
          <w:rFonts w:ascii="Times New Roman" w:hAnsi="Times New Roman" w:eastAsia="仿宋_GB2312" w:cs="Times New Roman"/>
          <w:color w:val="000000" w:themeColor="text1"/>
          <w:sz w:val="32"/>
          <w:szCs w:val="32"/>
          <w14:textFill>
            <w14:solidFill>
              <w14:schemeClr w14:val="tx1"/>
            </w14:solidFill>
          </w14:textFill>
        </w:rPr>
        <w:t>没有政府性基金预算拨款收入，也没有使用政府性基金预算拨款安排的支出。</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八</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国有资本经营预算拨款情况说明</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hint="eastAsia" w:ascii="Times New Roman" w:hAnsi="Times New Roman" w:eastAsia="仿宋_GB2312" w:cs="Times New Roman"/>
          <w:color w:val="000000" w:themeColor="text1"/>
          <w:sz w:val="32"/>
          <w:szCs w:val="32"/>
          <w14:textFill>
            <w14:solidFill>
              <w14:schemeClr w14:val="tx1"/>
            </w14:solidFill>
          </w14:textFill>
        </w:rPr>
        <w:t>2023年</w:t>
      </w:r>
      <w:r>
        <w:rPr>
          <w:rFonts w:ascii="Times New Roman" w:hAnsi="Times New Roman" w:eastAsia="仿宋_GB2312" w:cs="Times New Roman"/>
          <w:color w:val="000000" w:themeColor="text1"/>
          <w:sz w:val="32"/>
          <w:szCs w:val="32"/>
          <w14:textFill>
            <w14:solidFill>
              <w14:schemeClr w14:val="tx1"/>
            </w14:solidFill>
          </w14:textFill>
        </w:rPr>
        <w:t>没有国有资本经营预算拨款收入，也没有使用国有资本经营预算拨款安排的支出。</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九</w:t>
      </w:r>
      <w:r>
        <w:rPr>
          <w:rFonts w:ascii="Times New Roman" w:hAnsi="Times New Roman" w:eastAsia="黑体"/>
          <w:color w:val="000000" w:themeColor="text1"/>
          <w:sz w:val="32"/>
          <w:szCs w:val="32"/>
          <w14:textFill>
            <w14:solidFill>
              <w14:schemeClr w14:val="tx1"/>
            </w14:solidFill>
          </w14:textFill>
        </w:rPr>
        <w:t>、</w:t>
      </w:r>
      <w:r>
        <w:rPr>
          <w:rFonts w:hint="eastAsia" w:ascii="Times New Roman" w:hAnsi="Times New Roman" w:eastAsia="黑体"/>
          <w:color w:val="000000" w:themeColor="text1"/>
          <w:sz w:val="32"/>
          <w:szCs w:val="32"/>
          <w14:textFill>
            <w14:solidFill>
              <w14:schemeClr w14:val="tx1"/>
            </w14:solidFill>
          </w14:textFill>
        </w:rPr>
        <w:t>关于2023年项目支出预算情况说明</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2023年项目支出</w:t>
      </w:r>
      <w:r>
        <w:rPr>
          <w:rFonts w:ascii="Times New Roman" w:hAnsi="Times New Roman" w:eastAsia="仿宋_GB2312"/>
          <w:color w:val="000000" w:themeColor="text1"/>
          <w:sz w:val="32"/>
          <w:szCs w:val="32"/>
          <w14:textFill>
            <w14:solidFill>
              <w14:schemeClr w14:val="tx1"/>
            </w14:solidFill>
          </w14:textFill>
        </w:rPr>
        <w:t>预算</w:t>
      </w:r>
      <w:r>
        <w:rPr>
          <w:rFonts w:hint="eastAsia" w:ascii="Times New Roman" w:hAnsi="Times New Roman" w:eastAsia="仿宋_GB2312"/>
          <w:color w:val="000000" w:themeColor="text1"/>
          <w:sz w:val="32"/>
          <w:szCs w:val="32"/>
          <w14:textFill>
            <w14:solidFill>
              <w14:schemeClr w14:val="tx1"/>
            </w14:solidFill>
          </w14:textFill>
        </w:rPr>
        <w:t>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万元，比</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预算减少</w:t>
      </w:r>
      <w:r>
        <w:rPr>
          <w:rFonts w:hint="eastAsia" w:ascii="Times New Roman" w:hAnsi="Times New Roman" w:eastAsia="仿宋_GB2312"/>
          <w:color w:val="000000" w:themeColor="text1"/>
          <w:sz w:val="32"/>
          <w:szCs w:val="32"/>
          <w:lang w:val="en-US" w:eastAsia="zh-CN"/>
          <w14:textFill>
            <w14:solidFill>
              <w14:schemeClr w14:val="tx1"/>
            </w14:solidFill>
          </w14:textFill>
        </w:rPr>
        <w:t>288</w:t>
      </w:r>
      <w:r>
        <w:rPr>
          <w:rFonts w:ascii="Times New Roman" w:hAnsi="Times New Roman" w:eastAsia="仿宋_GB2312"/>
          <w:color w:val="000000" w:themeColor="text1"/>
          <w:sz w:val="32"/>
          <w:szCs w:val="32"/>
          <w14:textFill>
            <w14:solidFill>
              <w14:schemeClr w14:val="tx1"/>
            </w14:solidFill>
          </w14:textFill>
        </w:rPr>
        <w:t>万元，下降</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ascii="Times New Roman" w:hAnsi="Times New Roman" w:eastAsia="仿宋_GB2312"/>
          <w:color w:val="000000" w:themeColor="text1"/>
          <w:sz w:val="32"/>
          <w:szCs w:val="32"/>
          <w14:textFill>
            <w14:solidFill>
              <w14:schemeClr w14:val="tx1"/>
            </w14:solidFill>
          </w14:textFill>
        </w:rPr>
        <w:t>%，下降原因主要是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本年度未列项目支出</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主要包括本年财政拨款安排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（其中</w:t>
      </w:r>
      <w:r>
        <w:rPr>
          <w:rFonts w:ascii="Times New Roman" w:hAnsi="Times New Roman" w:eastAsia="仿宋_GB2312"/>
          <w:color w:val="000000" w:themeColor="text1"/>
          <w:sz w:val="32"/>
          <w:szCs w:val="32"/>
          <w14:textFill>
            <w14:solidFill>
              <w14:schemeClr w14:val="tx1"/>
            </w14:solidFill>
          </w14:textFill>
        </w:rPr>
        <w:t>一般公共预算</w:t>
      </w:r>
      <w:r>
        <w:rPr>
          <w:rFonts w:hint="eastAsia" w:ascii="Times New Roman" w:hAnsi="Times New Roman" w:eastAsia="仿宋_GB2312"/>
          <w:color w:val="000000" w:themeColor="text1"/>
          <w:sz w:val="32"/>
          <w:szCs w:val="32"/>
          <w14:textFill>
            <w14:solidFill>
              <w14:schemeClr w14:val="tx1"/>
            </w14:solidFill>
          </w14:textFill>
        </w:rPr>
        <w:t>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万元、政府性基金预算</w:t>
      </w:r>
      <w:r>
        <w:rPr>
          <w:rFonts w:hint="eastAsia" w:ascii="Times New Roman" w:hAnsi="Times New Roman" w:eastAsia="仿宋_GB2312"/>
          <w:color w:val="000000" w:themeColor="text1"/>
          <w:sz w:val="32"/>
          <w:szCs w:val="32"/>
          <w14:textFill>
            <w14:solidFill>
              <w14:schemeClr w14:val="tx1"/>
            </w14:solidFill>
          </w14:textFill>
        </w:rPr>
        <w:t>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国有资本经营预算安排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），财政拨款结转结余安排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（其中</w:t>
      </w:r>
      <w:r>
        <w:rPr>
          <w:rFonts w:ascii="Times New Roman" w:hAnsi="Times New Roman" w:eastAsia="仿宋_GB2312"/>
          <w:color w:val="000000" w:themeColor="text1"/>
          <w:sz w:val="32"/>
          <w:szCs w:val="32"/>
          <w14:textFill>
            <w14:solidFill>
              <w14:schemeClr w14:val="tx1"/>
            </w14:solidFill>
          </w14:textFill>
        </w:rPr>
        <w:t>一般公共预算</w:t>
      </w:r>
      <w:r>
        <w:rPr>
          <w:rFonts w:hint="eastAsia" w:ascii="Times New Roman" w:hAnsi="Times New Roman" w:eastAsia="仿宋_GB2312"/>
          <w:color w:val="000000" w:themeColor="text1"/>
          <w:sz w:val="32"/>
          <w:szCs w:val="32"/>
          <w14:textFill>
            <w14:solidFill>
              <w14:schemeClr w14:val="tx1"/>
            </w14:solidFill>
          </w14:textFill>
        </w:rPr>
        <w:t>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万元、政府性基金预算</w:t>
      </w:r>
      <w:r>
        <w:rPr>
          <w:rFonts w:hint="eastAsia" w:ascii="Times New Roman" w:hAnsi="Times New Roman" w:eastAsia="仿宋_GB2312"/>
          <w:color w:val="000000" w:themeColor="text1"/>
          <w:sz w:val="32"/>
          <w:szCs w:val="32"/>
          <w14:textFill>
            <w14:solidFill>
              <w14:schemeClr w14:val="tx1"/>
            </w14:solidFill>
          </w14:textFill>
        </w:rPr>
        <w:t>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国有资本经营预算安排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），财政专户管理资金安排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、其他收入安排</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2023年政府采购</w:t>
      </w:r>
      <w:r>
        <w:rPr>
          <w:rFonts w:ascii="Times New Roman" w:hAnsi="Times New Roman" w:eastAsia="黑体"/>
          <w:color w:val="000000" w:themeColor="text1"/>
          <w:sz w:val="32"/>
          <w:szCs w:val="32"/>
          <w14:textFill>
            <w14:solidFill>
              <w14:schemeClr w14:val="tx1"/>
            </w14:solidFill>
          </w14:textFill>
        </w:rPr>
        <w:t>预算情况说明</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hint="eastAsia" w:ascii="Times New Roman" w:hAnsi="Times New Roman" w:eastAsia="仿宋_GB2312" w:cs="Times New Roman"/>
          <w:color w:val="000000" w:themeColor="text1"/>
          <w:sz w:val="32"/>
          <w:szCs w:val="32"/>
          <w14:textFill>
            <w14:solidFill>
              <w14:schemeClr w14:val="tx1"/>
            </w14:solidFill>
          </w14:textFill>
        </w:rPr>
        <w:t>2023年</w:t>
      </w:r>
      <w:r>
        <w:rPr>
          <w:rFonts w:ascii="Times New Roman" w:hAnsi="Times New Roman" w:eastAsia="仿宋_GB2312" w:cs="Times New Roman"/>
          <w:color w:val="000000" w:themeColor="text1"/>
          <w:sz w:val="32"/>
          <w:szCs w:val="32"/>
          <w14:textFill>
            <w14:solidFill>
              <w14:schemeClr w14:val="tx1"/>
            </w14:solidFill>
          </w14:textFill>
        </w:rPr>
        <w:t>没有</w:t>
      </w:r>
      <w:r>
        <w:rPr>
          <w:rFonts w:hint="eastAsia" w:ascii="Times New Roman" w:hAnsi="Times New Roman" w:eastAsia="仿宋_GB2312" w:cs="Times New Roman"/>
          <w:color w:val="000000" w:themeColor="text1"/>
          <w:sz w:val="32"/>
          <w:szCs w:val="32"/>
          <w14:textFill>
            <w14:solidFill>
              <w14:schemeClr w14:val="tx1"/>
            </w14:solidFill>
          </w14:textFill>
        </w:rPr>
        <w:t>安排政府采购预算</w:t>
      </w:r>
      <w:r>
        <w:rPr>
          <w:rFonts w:ascii="Times New Roman" w:hAnsi="Times New Roman" w:eastAsia="仿宋_GB2312" w:cs="Times New Roman"/>
          <w:color w:val="000000" w:themeColor="text1"/>
          <w:sz w:val="32"/>
          <w:szCs w:val="32"/>
          <w14:textFill>
            <w14:solidFill>
              <w14:schemeClr w14:val="tx1"/>
            </w14:solidFill>
          </w14:textFill>
        </w:rPr>
        <w:t>支出。</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十一</w:t>
      </w:r>
      <w:r>
        <w:rPr>
          <w:rFonts w:hint="eastAsia" w:ascii="Times New Roman" w:hAnsi="Times New Roman" w:eastAsia="仿宋_GB2312"/>
          <w:b/>
          <w:color w:val="000000" w:themeColor="text1"/>
          <w:kern w:val="0"/>
          <w:sz w:val="32"/>
          <w:szCs w:val="32"/>
          <w14:textFill>
            <w14:solidFill>
              <w14:schemeClr w14:val="tx1"/>
            </w14:solidFill>
          </w14:textFill>
        </w:rPr>
        <w:t>、</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2023年政府购买服务</w:t>
      </w:r>
      <w:r>
        <w:rPr>
          <w:rFonts w:ascii="Times New Roman" w:hAnsi="Times New Roman" w:eastAsia="黑体"/>
          <w:color w:val="000000" w:themeColor="text1"/>
          <w:sz w:val="32"/>
          <w:szCs w:val="32"/>
          <w14:textFill>
            <w14:solidFill>
              <w14:schemeClr w14:val="tx1"/>
            </w14:solidFill>
          </w14:textFill>
        </w:rPr>
        <w:t>预算情况说明</w:t>
      </w:r>
    </w:p>
    <w:p>
      <w:pPr>
        <w:pStyle w:val="5"/>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hint="eastAsia" w:ascii="Times New Roman" w:hAnsi="Times New Roman" w:eastAsia="仿宋_GB2312" w:cs="Times New Roman"/>
          <w:color w:val="000000" w:themeColor="text1"/>
          <w:sz w:val="32"/>
          <w:szCs w:val="32"/>
          <w14:textFill>
            <w14:solidFill>
              <w14:schemeClr w14:val="tx1"/>
            </w14:solidFill>
          </w14:textFill>
        </w:rPr>
        <w:t>2023年</w:t>
      </w:r>
      <w:r>
        <w:rPr>
          <w:rFonts w:ascii="Times New Roman" w:hAnsi="Times New Roman" w:eastAsia="仿宋_GB2312" w:cs="Times New Roman"/>
          <w:color w:val="000000" w:themeColor="text1"/>
          <w:sz w:val="32"/>
          <w:szCs w:val="32"/>
          <w14:textFill>
            <w14:solidFill>
              <w14:schemeClr w14:val="tx1"/>
            </w14:solidFill>
          </w14:textFill>
        </w:rPr>
        <w:t>没有</w:t>
      </w:r>
      <w:r>
        <w:rPr>
          <w:rFonts w:hint="eastAsia" w:ascii="Times New Roman" w:hAnsi="Times New Roman" w:eastAsia="仿宋_GB2312" w:cs="Times New Roman"/>
          <w:color w:val="000000" w:themeColor="text1"/>
          <w:sz w:val="32"/>
          <w:szCs w:val="32"/>
          <w14:textFill>
            <w14:solidFill>
              <w14:schemeClr w14:val="tx1"/>
            </w14:solidFill>
          </w14:textFill>
        </w:rPr>
        <w:t>安排政府购买服务预算</w:t>
      </w:r>
      <w:r>
        <w:rPr>
          <w:rFonts w:ascii="Times New Roman" w:hAnsi="Times New Roman" w:eastAsia="仿宋_GB2312" w:cs="Times New Roman"/>
          <w:color w:val="000000" w:themeColor="text1"/>
          <w:sz w:val="32"/>
          <w:szCs w:val="32"/>
          <w14:textFill>
            <w14:solidFill>
              <w14:schemeClr w14:val="tx1"/>
            </w14:solidFill>
          </w14:textFill>
        </w:rPr>
        <w:t>支出。</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十二</w:t>
      </w:r>
      <w:r>
        <w:rPr>
          <w:rFonts w:ascii="Times New Roman" w:hAnsi="Times New Roman" w:eastAsia="黑体"/>
          <w:color w:val="000000" w:themeColor="text1"/>
          <w:sz w:val="32"/>
          <w:szCs w:val="32"/>
          <w14:textFill>
            <w14:solidFill>
              <w14:schemeClr w14:val="tx1"/>
            </w14:solidFill>
          </w14:textFill>
        </w:rPr>
        <w:t>、关于</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“三公”经费</w:t>
      </w:r>
      <w:r>
        <w:rPr>
          <w:rFonts w:hint="eastAsia" w:ascii="Times New Roman" w:hAnsi="Times New Roman" w:eastAsia="黑体"/>
          <w:color w:val="000000" w:themeColor="text1"/>
          <w:sz w:val="32"/>
          <w:szCs w:val="32"/>
          <w14:textFill>
            <w14:solidFill>
              <w14:schemeClr w14:val="tx1"/>
            </w14:solidFill>
          </w14:textFill>
        </w:rPr>
        <w:t>支出</w:t>
      </w:r>
      <w:r>
        <w:rPr>
          <w:rFonts w:ascii="Times New Roman" w:hAnsi="Times New Roman" w:eastAsia="黑体"/>
          <w:color w:val="000000" w:themeColor="text1"/>
          <w:sz w:val="32"/>
          <w:szCs w:val="32"/>
          <w14:textFill>
            <w14:solidFill>
              <w14:schemeClr w14:val="tx1"/>
            </w14:solidFill>
          </w14:textFill>
        </w:rPr>
        <w:t>预算情况说明</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为全面反映“三公”经费支出，本次公开的“三公”经费预算为部门汇总数。</w:t>
      </w: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ascii="Times New Roman" w:hAnsi="Times New Roman" w:eastAsia="仿宋_GB2312"/>
          <w:color w:val="000000" w:themeColor="text1"/>
          <w:sz w:val="32"/>
          <w:szCs w:val="32"/>
          <w14:textFill>
            <w14:solidFill>
              <w14:schemeClr w14:val="tx1"/>
            </w14:solidFill>
          </w14:textFill>
        </w:rPr>
        <w:t>机关本级和局属单位</w:t>
      </w:r>
      <w:r>
        <w:rPr>
          <w:rFonts w:hint="eastAsia" w:ascii="Times New Roman" w:hAnsi="Times New Roman" w:eastAsia="仿宋_GB2312"/>
          <w:color w:val="000000" w:themeColor="text1"/>
          <w:sz w:val="32"/>
          <w:szCs w:val="32"/>
          <w14:textFill>
            <w14:solidFill>
              <w14:schemeClr w14:val="tx1"/>
            </w14:solidFill>
          </w14:textFill>
        </w:rPr>
        <w:t>一般公共预算及政府性基金财政拨款</w:t>
      </w:r>
      <w:r>
        <w:rPr>
          <w:rFonts w:ascii="Times New Roman" w:hAnsi="Times New Roman" w:eastAsia="仿宋_GB2312"/>
          <w:color w:val="000000" w:themeColor="text1"/>
          <w:sz w:val="32"/>
          <w:szCs w:val="32"/>
          <w14:textFill>
            <w14:solidFill>
              <w14:schemeClr w14:val="tx1"/>
            </w14:solidFill>
          </w14:textFill>
        </w:rPr>
        <w:t>“三公”经费支出预算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13.5</w:t>
      </w:r>
      <w:r>
        <w:rPr>
          <w:rFonts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14:textFill>
            <w14:solidFill>
              <w14:schemeClr w14:val="tx1"/>
            </w14:solidFill>
          </w14:textFill>
        </w:rPr>
        <w:t>与2022年相比持平</w:t>
      </w:r>
      <w:r>
        <w:rPr>
          <w:rFonts w:ascii="Times New Roman" w:hAnsi="Times New Roman" w:eastAsia="仿宋_GB2312"/>
          <w:color w:val="000000" w:themeColor="text1"/>
          <w:sz w:val="32"/>
          <w:szCs w:val="32"/>
          <w14:textFill>
            <w14:solidFill>
              <w14:schemeClr w14:val="tx1"/>
            </w14:solidFill>
          </w14:textFill>
        </w:rPr>
        <w:t>。其中因公出国（境）费</w:t>
      </w:r>
      <w:r>
        <w:rPr>
          <w:rFonts w:hint="eastAsia" w:ascii="Times New Roman" w:hAnsi="Times New Roman" w:eastAsia="仿宋_GB2312"/>
          <w:color w:val="000000" w:themeColor="text1"/>
          <w:sz w:val="32"/>
          <w:szCs w:val="32"/>
          <w:lang w:val="en-US" w:eastAsia="zh-CN"/>
          <w14:textFill>
            <w14:solidFill>
              <w14:schemeClr w14:val="tx1"/>
            </w14:solidFill>
          </w14:textFill>
        </w:rPr>
        <w:t>0.00</w:t>
      </w:r>
      <w:r>
        <w:rPr>
          <w:rFonts w:ascii="Times New Roman" w:hAnsi="Times New Roman" w:eastAsia="仿宋_GB2312"/>
          <w:color w:val="000000" w:themeColor="text1"/>
          <w:sz w:val="32"/>
          <w:szCs w:val="32"/>
          <w14:textFill>
            <w14:solidFill>
              <w14:schemeClr w14:val="tx1"/>
            </w14:solidFill>
          </w14:textFill>
        </w:rPr>
        <w:t>万元，公务接待费</w:t>
      </w:r>
      <w:r>
        <w:rPr>
          <w:rFonts w:hint="eastAsia" w:ascii="Times New Roman" w:hAnsi="Times New Roman" w:eastAsia="仿宋_GB2312"/>
          <w:color w:val="000000" w:themeColor="text1"/>
          <w:sz w:val="32"/>
          <w:szCs w:val="32"/>
          <w:lang w:val="en-US" w:eastAsia="zh-CN"/>
          <w14:textFill>
            <w14:solidFill>
              <w14:schemeClr w14:val="tx1"/>
            </w14:solidFill>
          </w14:textFill>
        </w:rPr>
        <w:t>3.00</w:t>
      </w:r>
      <w:r>
        <w:rPr>
          <w:rFonts w:ascii="Times New Roman" w:hAnsi="Times New Roman" w:eastAsia="仿宋_GB2312"/>
          <w:color w:val="000000" w:themeColor="text1"/>
          <w:sz w:val="32"/>
          <w:szCs w:val="32"/>
          <w14:textFill>
            <w14:solidFill>
              <w14:schemeClr w14:val="tx1"/>
            </w14:solidFill>
          </w14:textFill>
        </w:rPr>
        <w:t>万元，公务用车购置及运行费</w:t>
      </w:r>
      <w:r>
        <w:rPr>
          <w:rFonts w:hint="eastAsia" w:ascii="Times New Roman" w:hAnsi="Times New Roman" w:eastAsia="仿宋_GB2312"/>
          <w:color w:val="000000" w:themeColor="text1"/>
          <w:sz w:val="32"/>
          <w:szCs w:val="32"/>
          <w:lang w:val="en-US" w:eastAsia="zh-CN"/>
          <w14:textFill>
            <w14:solidFill>
              <w14:schemeClr w14:val="tx1"/>
            </w14:solidFill>
          </w14:textFill>
        </w:rPr>
        <w:t>10.50</w:t>
      </w:r>
      <w:r>
        <w:rPr>
          <w:rFonts w:ascii="Times New Roman" w:hAnsi="Times New Roman" w:eastAsia="仿宋_GB2312"/>
          <w:color w:val="000000" w:themeColor="text1"/>
          <w:sz w:val="32"/>
          <w:szCs w:val="32"/>
          <w14:textFill>
            <w14:solidFill>
              <w14:schemeClr w14:val="tx1"/>
            </w14:solidFill>
          </w14:textFill>
        </w:rPr>
        <w:t>万元。具体情况如下：</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（一）因公出国（境）费。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相比持平，主要原因是未安排因公出国（境）费用。经费使用严格执行</w:t>
      </w:r>
      <w:r>
        <w:rPr>
          <w:rFonts w:hint="eastAsia" w:ascii="仿宋_GB2312" w:eastAsia="仿宋_GB2312"/>
          <w:sz w:val="32"/>
          <w:szCs w:val="32"/>
        </w:rPr>
        <w:t>《关于转发&lt;安徽省省直党政机关因公临时出国经费管理办法&gt;的通知》（巢财行〔2014〕64号）</w:t>
      </w:r>
      <w:r>
        <w:rPr>
          <w:rFonts w:ascii="Times New Roman" w:hAnsi="Times New Roman" w:eastAsia="仿宋_GB2312"/>
          <w:color w:val="000000" w:themeColor="text1"/>
          <w:sz w:val="32"/>
          <w:szCs w:val="32"/>
          <w14:textFill>
            <w14:solidFill>
              <w14:schemeClr w14:val="tx1"/>
            </w14:solidFill>
          </w14:textFill>
        </w:rPr>
        <w:t>等相关规定</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 xml:space="preserve"> 主要用于单位出国（境）的国际旅费、国外城市间交通费等支出</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3"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（二）公务接待费。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3.00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相比持平，主要原因是参照上年公务接待费支出情况安排本年预算。经费使用严格执行《党政机关厉行节约反对浪费条例》、</w:t>
      </w:r>
      <w:r>
        <w:rPr>
          <w:rFonts w:hint="eastAsia" w:ascii="仿宋_GB2312" w:eastAsia="仿宋_GB2312"/>
          <w:sz w:val="32"/>
          <w:szCs w:val="32"/>
        </w:rPr>
        <w:t>《关于印发&lt;巢湖市市直单位公务接待经费管理暂行办法&gt;的通知》（巢财行〔2014〕90号）等相关规定,主要用于经审批的接待活动支出。</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（三）公务用车购置及运行费。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10.50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其中：公务用车运行费</w:t>
      </w:r>
      <w:r>
        <w:rPr>
          <w:rFonts w:hint="eastAsia" w:ascii="Times New Roman" w:hAnsi="Times New Roman" w:eastAsia="仿宋_GB2312"/>
          <w:color w:val="000000" w:themeColor="text1"/>
          <w:sz w:val="32"/>
          <w:szCs w:val="32"/>
          <w:lang w:val="en-US" w:eastAsia="zh-CN"/>
          <w14:textFill>
            <w14:solidFill>
              <w14:schemeClr w14:val="tx1"/>
            </w14:solidFill>
          </w14:textFill>
        </w:rPr>
        <w:t>10.50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相比持平，主要原因是严格按照预算编制要求，根据保留车辆数合理安排</w:t>
      </w:r>
      <w:r>
        <w:rPr>
          <w:rFonts w:hint="default"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主要用于车辆燃料费、维修费、过路过桥费、保险费等支出</w:t>
      </w:r>
      <w:r>
        <w:rPr>
          <w:rFonts w:ascii="Times New Roman" w:hAnsi="Times New Roman" w:eastAsia="仿宋_GB2312"/>
          <w:color w:val="000000" w:themeColor="text1"/>
          <w:sz w:val="32"/>
          <w:szCs w:val="32"/>
          <w14:textFill>
            <w14:solidFill>
              <w14:schemeClr w14:val="tx1"/>
            </w14:solidFill>
          </w14:textFill>
        </w:rPr>
        <w:t>。公务用车购置费</w:t>
      </w:r>
      <w:r>
        <w:rPr>
          <w:rFonts w:hint="eastAsia" w:ascii="Times New Roman" w:hAnsi="Times New Roman" w:eastAsia="仿宋_GB2312"/>
          <w:color w:val="000000" w:themeColor="text1"/>
          <w:sz w:val="32"/>
          <w:szCs w:val="32"/>
          <w:lang w:val="en-US" w:eastAsia="zh-CN"/>
          <w14:textFill>
            <w14:solidFill>
              <w14:schemeClr w14:val="tx1"/>
            </w14:solidFill>
          </w14:textFill>
        </w:rPr>
        <w:t>0.00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相比持平，主要原因是</w:t>
      </w:r>
      <w:r>
        <w:rPr>
          <w:rFonts w:hint="default" w:ascii="Times New Roman" w:hAnsi="Times New Roman" w:eastAsia="宋体" w:cs="Times New Roman"/>
          <w:i w:val="0"/>
          <w:iCs w:val="0"/>
          <w:caps w:val="0"/>
          <w:color w:val="000000"/>
          <w:spacing w:val="0"/>
          <w:sz w:val="32"/>
          <w:szCs w:val="32"/>
          <w:shd w:val="clear" w:fill="FFFFFF"/>
        </w:rPr>
        <w:t>202</w:t>
      </w:r>
      <w:r>
        <w:rPr>
          <w:rFonts w:hint="eastAsia" w:ascii="Times New Roman" w:hAnsi="Times New Roman" w:cs="Times New Roman"/>
          <w:i w:val="0"/>
          <w:iCs w:val="0"/>
          <w:caps w:val="0"/>
          <w:color w:val="000000"/>
          <w:spacing w:val="0"/>
          <w:sz w:val="32"/>
          <w:szCs w:val="32"/>
          <w:shd w:val="clear" w:fill="FFFFFF"/>
          <w:lang w:val="en-US" w:eastAsia="zh-CN"/>
        </w:rPr>
        <w:t>2</w:t>
      </w:r>
      <w:r>
        <w:rPr>
          <w:rFonts w:ascii="仿宋" w:hAnsi="仿宋" w:eastAsia="仿宋" w:cs="仿宋"/>
          <w:i w:val="0"/>
          <w:iCs w:val="0"/>
          <w:caps w:val="0"/>
          <w:color w:val="000000"/>
          <w:spacing w:val="0"/>
          <w:sz w:val="32"/>
          <w:szCs w:val="32"/>
          <w:shd w:val="clear" w:fill="FFFFFF"/>
        </w:rPr>
        <w:t>、</w:t>
      </w:r>
      <w:r>
        <w:rPr>
          <w:rFonts w:hint="default" w:ascii="Times New Roman" w:hAnsi="Times New Roman" w:eastAsia="宋体" w:cs="Times New Roman"/>
          <w:i w:val="0"/>
          <w:iCs w:val="0"/>
          <w:caps w:val="0"/>
          <w:color w:val="000000"/>
          <w:spacing w:val="0"/>
          <w:sz w:val="32"/>
          <w:szCs w:val="32"/>
          <w:shd w:val="clear" w:fill="FFFFFF"/>
        </w:rPr>
        <w:t>202</w:t>
      </w:r>
      <w:r>
        <w:rPr>
          <w:rFonts w:hint="eastAsia" w:ascii="Times New Roman" w:hAnsi="Times New Roman" w:cs="Times New Roman"/>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年均未安排公务用车购置费用。</w:t>
      </w:r>
      <w:r>
        <w:rPr>
          <w:rFonts w:ascii="Times New Roman" w:hAnsi="Times New Roman" w:eastAsia="仿宋_GB2312"/>
          <w:color w:val="000000" w:themeColor="text1"/>
          <w:sz w:val="32"/>
          <w:szCs w:val="32"/>
          <w14:textFill>
            <w14:solidFill>
              <w14:schemeClr w14:val="tx1"/>
            </w14:solidFill>
          </w14:textFill>
        </w:rPr>
        <w:t>用于购置</w:t>
      </w:r>
      <w:r>
        <w:rPr>
          <w:rFonts w:hint="eastAsia" w:ascii="Times New Roman" w:hAnsi="Times New Roman" w:eastAsia="仿宋_GB2312"/>
          <w:color w:val="000000" w:themeColor="text1"/>
          <w:sz w:val="32"/>
          <w:szCs w:val="32"/>
          <w14:textFill>
            <w14:solidFill>
              <w14:schemeClr w14:val="tx1"/>
            </w14:solidFill>
          </w14:textFill>
        </w:rPr>
        <w:t>机要通信用车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辆、应急保障用车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辆、其他按照规定配备的公务用车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辆、执法执勤用车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辆、特种专业技术用车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w:t>
      </w:r>
    </w:p>
    <w:p>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w:t>
      </w:r>
      <w:r>
        <w:rPr>
          <w:rFonts w:hint="eastAsia" w:ascii="Times New Roman" w:hAnsi="Times New Roman" w:eastAsia="黑体"/>
          <w:color w:val="000000" w:themeColor="text1"/>
          <w:sz w:val="32"/>
          <w:szCs w:val="32"/>
          <w14:textFill>
            <w14:solidFill>
              <w14:schemeClr w14:val="tx1"/>
            </w14:solidFill>
          </w14:textFill>
        </w:rPr>
        <w:t>三</w:t>
      </w:r>
      <w:r>
        <w:rPr>
          <w:rFonts w:ascii="Times New Roman" w:hAnsi="Times New Roman" w:eastAsia="黑体"/>
          <w:color w:val="000000" w:themeColor="text1"/>
          <w:sz w:val="32"/>
          <w:szCs w:val="32"/>
          <w14:textFill>
            <w14:solidFill>
              <w14:schemeClr w14:val="tx1"/>
            </w14:solidFill>
          </w14:textFill>
        </w:rPr>
        <w:t>、</w:t>
      </w:r>
      <w:r>
        <w:rPr>
          <w:rFonts w:hint="eastAsia" w:ascii="Times New Roman" w:hAnsi="Times New Roman" w:eastAsia="黑体"/>
          <w:color w:val="000000" w:themeColor="text1"/>
          <w:sz w:val="32"/>
          <w:szCs w:val="32"/>
          <w14:textFill>
            <w14:solidFill>
              <w14:schemeClr w14:val="tx1"/>
            </w14:solidFill>
          </w14:textFill>
        </w:rPr>
        <w:t>其他</w:t>
      </w:r>
      <w:r>
        <w:rPr>
          <w:rFonts w:ascii="Times New Roman" w:hAnsi="Times New Roman" w:eastAsia="黑体"/>
          <w:color w:val="000000" w:themeColor="text1"/>
          <w:sz w:val="32"/>
          <w:szCs w:val="32"/>
          <w14:textFill>
            <w14:solidFill>
              <w14:schemeClr w14:val="tx1"/>
            </w14:solidFill>
          </w14:textFill>
        </w:rPr>
        <w:t>重要事项情况说明</w:t>
      </w:r>
    </w:p>
    <w:p>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一</w:t>
      </w: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项目绩效目标编制情况。</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2023年</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巢湖市人大办</w:t>
      </w:r>
      <w:r>
        <w:rPr>
          <w:rFonts w:ascii="Times New Roman" w:hAnsi="Times New Roman" w:eastAsia="仿宋_GB2312"/>
          <w:color w:val="000000" w:themeColor="text1"/>
          <w:sz w:val="32"/>
          <w:szCs w:val="32"/>
          <w14:textFill>
            <w14:solidFill>
              <w14:schemeClr w14:val="tx1"/>
            </w14:solidFill>
          </w14:textFill>
        </w:rPr>
        <w:t>没有需编制绩效目标的</w:t>
      </w:r>
      <w:r>
        <w:rPr>
          <w:rFonts w:hint="eastAsia" w:ascii="Times New Roman" w:hAnsi="Times New Roman" w:eastAsia="仿宋_GB2312"/>
          <w:color w:val="000000" w:themeColor="text1"/>
          <w:sz w:val="32"/>
          <w:szCs w:val="32"/>
          <w14:textFill>
            <w14:solidFill>
              <w14:schemeClr w14:val="tx1"/>
            </w14:solidFill>
          </w14:textFill>
        </w:rPr>
        <w:t>项目</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3" w:firstLineChars="200"/>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二</w:t>
      </w:r>
      <w:r>
        <w:rPr>
          <w:rFonts w:ascii="Times New Roman" w:hAnsi="Times New Roman" w:eastAsia="仿宋_GB2312"/>
          <w:b/>
          <w:color w:val="000000" w:themeColor="text1"/>
          <w:kern w:val="0"/>
          <w:sz w:val="32"/>
          <w:szCs w:val="32"/>
          <w14:textFill>
            <w14:solidFill>
              <w14:schemeClr w14:val="tx1"/>
            </w14:solidFill>
          </w14:textFill>
        </w:rPr>
        <w:t>）机关运行经费。</w:t>
      </w:r>
    </w:p>
    <w:p>
      <w:pPr>
        <w:adjustRightInd w:val="0"/>
        <w:snapToGrid w:val="0"/>
        <w:spacing w:line="560" w:lineRule="exact"/>
        <w:ind w:firstLine="640"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2023年</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ascii="Times New Roman" w:hAnsi="Times New Roman" w:eastAsia="仿宋_GB2312"/>
          <w:color w:val="000000" w:themeColor="text1"/>
          <w:sz w:val="32"/>
          <w:szCs w:val="32"/>
          <w:u w:val="none"/>
          <w14:textFill>
            <w14:solidFill>
              <w14:schemeClr w14:val="tx1"/>
            </w14:solidFill>
          </w14:textFill>
        </w:rPr>
        <w:t>本级1家</w:t>
      </w:r>
      <w:r>
        <w:rPr>
          <w:rFonts w:ascii="Times New Roman" w:hAnsi="Times New Roman" w:eastAsia="仿宋_GB2312"/>
          <w:color w:val="000000" w:themeColor="text1"/>
          <w:kern w:val="0"/>
          <w:sz w:val="32"/>
          <w:szCs w:val="32"/>
          <w14:textFill>
            <w14:solidFill>
              <w14:schemeClr w14:val="tx1"/>
            </w14:solidFill>
          </w14:textFill>
        </w:rPr>
        <w:t>行政单位的机关运行经费财政拨款预算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167.90</w:t>
      </w:r>
      <w:r>
        <w:rPr>
          <w:rFonts w:ascii="Times New Roman" w:hAnsi="Times New Roman" w:eastAsia="仿宋_GB2312"/>
          <w:color w:val="000000" w:themeColor="text1"/>
          <w:kern w:val="0"/>
          <w:sz w:val="32"/>
          <w:szCs w:val="32"/>
          <w14:textFill>
            <w14:solidFill>
              <w14:schemeClr w14:val="tx1"/>
            </w14:solidFill>
          </w14:textFill>
        </w:rPr>
        <w:t>万元，比</w:t>
      </w:r>
      <w:r>
        <w:rPr>
          <w:rFonts w:hint="eastAsia" w:ascii="Times New Roman" w:hAnsi="Times New Roman" w:eastAsia="仿宋_GB2312"/>
          <w:color w:val="000000" w:themeColor="text1"/>
          <w:kern w:val="0"/>
          <w:sz w:val="32"/>
          <w:szCs w:val="32"/>
          <w14:textFill>
            <w14:solidFill>
              <w14:schemeClr w14:val="tx1"/>
            </w14:solidFill>
          </w14:textFill>
        </w:rPr>
        <w:t>2022年</w:t>
      </w:r>
      <w:r>
        <w:rPr>
          <w:rFonts w:ascii="Times New Roman" w:hAnsi="Times New Roman" w:eastAsia="仿宋_GB2312"/>
          <w:color w:val="000000" w:themeColor="text1"/>
          <w:kern w:val="0"/>
          <w:sz w:val="32"/>
          <w:szCs w:val="32"/>
          <w14:textFill>
            <w14:solidFill>
              <w14:schemeClr w14:val="tx1"/>
            </w14:solidFill>
          </w14:textFill>
        </w:rPr>
        <w:t>增加</w:t>
      </w:r>
      <w:r>
        <w:rPr>
          <w:rFonts w:hint="eastAsia" w:ascii="Times New Roman" w:hAnsi="Times New Roman" w:eastAsia="仿宋_GB2312"/>
          <w:color w:val="000000" w:themeColor="text1"/>
          <w:sz w:val="32"/>
          <w:szCs w:val="32"/>
          <w:lang w:val="en-US" w:eastAsia="zh-CN"/>
          <w14:textFill>
            <w14:solidFill>
              <w14:schemeClr w14:val="tx1"/>
            </w14:solidFill>
          </w14:textFill>
        </w:rPr>
        <w:t>84.64</w:t>
      </w:r>
      <w:r>
        <w:rPr>
          <w:rFonts w:ascii="Times New Roman" w:hAnsi="Times New Roman" w:eastAsia="仿宋_GB2312"/>
          <w:color w:val="000000" w:themeColor="text1"/>
          <w:sz w:val="32"/>
          <w:szCs w:val="32"/>
          <w14:textFill>
            <w14:solidFill>
              <w14:schemeClr w14:val="tx1"/>
            </w14:solidFill>
          </w14:textFill>
        </w:rPr>
        <w:t>万元，增长</w:t>
      </w:r>
      <w:r>
        <w:rPr>
          <w:rFonts w:hint="eastAsia" w:ascii="Times New Roman" w:hAnsi="Times New Roman" w:eastAsia="仿宋_GB2312"/>
          <w:color w:val="000000" w:themeColor="text1"/>
          <w:sz w:val="32"/>
          <w:szCs w:val="32"/>
          <w:lang w:val="en-US" w:eastAsia="zh-CN"/>
          <w14:textFill>
            <w14:solidFill>
              <w14:schemeClr w14:val="tx1"/>
            </w14:solidFill>
          </w14:textFill>
        </w:rPr>
        <w:t>101.66</w:t>
      </w:r>
      <w:r>
        <w:rPr>
          <w:rFonts w:ascii="Times New Roman" w:hAnsi="Times New Roman" w:eastAsia="仿宋_GB2312"/>
          <w:color w:val="000000" w:themeColor="text1"/>
          <w:sz w:val="32"/>
          <w:szCs w:val="32"/>
          <w14:textFill>
            <w14:solidFill>
              <w14:schemeClr w14:val="tx1"/>
            </w14:solidFill>
          </w14:textFill>
        </w:rPr>
        <w:t>%，增长主要原因是人大常委会、人代会、人大外宣信访</w:t>
      </w:r>
      <w:r>
        <w:rPr>
          <w:rFonts w:hint="eastAsia" w:ascii="Times New Roman" w:hAnsi="Times New Roman" w:eastAsia="仿宋_GB2312"/>
          <w:color w:val="000000" w:themeColor="text1"/>
          <w:sz w:val="32"/>
          <w:szCs w:val="32"/>
          <w:lang w:val="en-US" w:eastAsia="zh-CN"/>
          <w14:textFill>
            <w14:solidFill>
              <w14:schemeClr w14:val="tx1"/>
            </w14:solidFill>
          </w14:textFill>
        </w:rPr>
        <w:t>等工作开展所需的经费本年列入会议费和办公费指标中。</w:t>
      </w:r>
    </w:p>
    <w:p>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三</w:t>
      </w:r>
      <w:r>
        <w:rPr>
          <w:rFonts w:ascii="Times New Roman" w:hAnsi="Times New Roman" w:eastAsia="仿宋_GB2312"/>
          <w:b/>
          <w:color w:val="000000" w:themeColor="text1"/>
          <w:kern w:val="0"/>
          <w:sz w:val="32"/>
          <w:szCs w:val="32"/>
          <w14:textFill>
            <w14:solidFill>
              <w14:schemeClr w14:val="tx1"/>
            </w14:solidFill>
          </w14:textFill>
        </w:rPr>
        <w:t>）政府采购情况。</w:t>
      </w:r>
    </w:p>
    <w:p>
      <w:pPr>
        <w:spacing w:line="560" w:lineRule="exact"/>
        <w:ind w:firstLine="640" w:firstLineChars="200"/>
        <w:rPr>
          <w:rFonts w:ascii="Times New Roman" w:hAnsi="Times New Roman" w:eastAsia="楷体"/>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2023年</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ascii="Times New Roman" w:hAnsi="Times New Roman" w:eastAsia="仿宋_GB2312"/>
          <w:color w:val="000000" w:themeColor="text1"/>
          <w:kern w:val="0"/>
          <w:sz w:val="32"/>
          <w:szCs w:val="32"/>
          <w14:textFill>
            <w14:solidFill>
              <w14:schemeClr w14:val="tx1"/>
            </w14:solidFill>
          </w14:textFill>
        </w:rPr>
        <w:t>政府采购预算总额</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万元，其中：政府采购货物预算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万元、政府采购工程预算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万元、政府采购服务预算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kern w:val="0"/>
          <w:sz w:val="32"/>
          <w:szCs w:val="32"/>
          <w14:textFill>
            <w14:solidFill>
              <w14:schemeClr w14:val="tx1"/>
            </w14:solidFill>
          </w14:textFill>
        </w:rPr>
        <w:t>万元。</w:t>
      </w:r>
    </w:p>
    <w:p>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四</w:t>
      </w:r>
      <w:r>
        <w:rPr>
          <w:rFonts w:ascii="Times New Roman" w:hAnsi="Times New Roman" w:eastAsia="仿宋_GB2312"/>
          <w:b/>
          <w:color w:val="000000" w:themeColor="text1"/>
          <w:kern w:val="0"/>
          <w:sz w:val="32"/>
          <w:szCs w:val="32"/>
          <w14:textFill>
            <w14:solidFill>
              <w14:schemeClr w14:val="tx1"/>
            </w14:solidFill>
          </w14:textFill>
        </w:rPr>
        <w:t>）国有资产占有使用情况。</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截至</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12月31日，</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ascii="Times New Roman" w:hAnsi="Times New Roman" w:eastAsia="仿宋_GB2312"/>
          <w:color w:val="000000" w:themeColor="text1"/>
          <w:sz w:val="32"/>
          <w:szCs w:val="32"/>
          <w14:textFill>
            <w14:solidFill>
              <w14:schemeClr w14:val="tx1"/>
            </w14:solidFill>
          </w14:textFill>
        </w:rPr>
        <w:t>固定资产总金额</w:t>
      </w:r>
      <w:r>
        <w:rPr>
          <w:rFonts w:hint="eastAsia" w:ascii="Times New Roman" w:hAnsi="Times New Roman" w:eastAsia="仿宋_GB2312"/>
          <w:color w:val="000000" w:themeColor="text1"/>
          <w:sz w:val="32"/>
          <w:szCs w:val="32"/>
          <w14:textFill>
            <w14:solidFill>
              <w14:schemeClr w14:val="tx1"/>
            </w14:solidFill>
          </w14:textFill>
        </w:rPr>
        <w:t>（原值）</w:t>
      </w:r>
      <w:r>
        <w:rPr>
          <w:rFonts w:hint="eastAsia" w:ascii="Times New Roman" w:hAnsi="Times New Roman" w:eastAsia="仿宋_GB2312"/>
          <w:color w:val="000000" w:themeColor="text1"/>
          <w:sz w:val="32"/>
          <w:szCs w:val="32"/>
          <w:lang w:val="en-US" w:eastAsia="zh-CN"/>
          <w14:textFill>
            <w14:solidFill>
              <w14:schemeClr w14:val="tx1"/>
            </w14:solidFill>
          </w14:textFill>
        </w:rPr>
        <w:t>76.93</w:t>
      </w:r>
      <w:r>
        <w:rPr>
          <w:rFonts w:ascii="Times New Roman" w:hAnsi="Times New Roman" w:eastAsia="仿宋_GB2312"/>
          <w:color w:val="000000" w:themeColor="text1"/>
          <w:sz w:val="32"/>
          <w:szCs w:val="32"/>
          <w14:textFill>
            <w14:solidFill>
              <w14:schemeClr w14:val="tx1"/>
            </w14:solidFill>
          </w14:textFill>
        </w:rPr>
        <w:t>万元，较上年增加</w:t>
      </w:r>
      <w:r>
        <w:rPr>
          <w:rFonts w:hint="eastAsia" w:ascii="Times New Roman" w:hAnsi="Times New Roman" w:eastAsia="仿宋_GB2312"/>
          <w:color w:val="000000" w:themeColor="text1"/>
          <w:sz w:val="32"/>
          <w:szCs w:val="32"/>
          <w:lang w:val="en-US" w:eastAsia="zh-CN"/>
          <w14:textFill>
            <w14:solidFill>
              <w14:schemeClr w14:val="tx1"/>
            </w14:solidFill>
          </w14:textFill>
        </w:rPr>
        <w:t>3.50</w:t>
      </w:r>
      <w:r>
        <w:rPr>
          <w:rFonts w:ascii="Times New Roman" w:hAnsi="Times New Roman" w:eastAsia="仿宋_GB2312"/>
          <w:color w:val="000000" w:themeColor="text1"/>
          <w:sz w:val="32"/>
          <w:szCs w:val="32"/>
          <w14:textFill>
            <w14:solidFill>
              <w14:schemeClr w14:val="tx1"/>
            </w14:solidFill>
          </w14:textFill>
        </w:rPr>
        <w:t>万元，其中，土地、房屋及构筑物</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万元、通用设备</w:t>
      </w:r>
      <w:r>
        <w:rPr>
          <w:rFonts w:hint="eastAsia" w:ascii="Times New Roman" w:hAnsi="Times New Roman" w:eastAsia="仿宋_GB2312"/>
          <w:color w:val="000000" w:themeColor="text1"/>
          <w:sz w:val="32"/>
          <w:szCs w:val="32"/>
          <w:lang w:val="en-US" w:eastAsia="zh-CN"/>
          <w14:textFill>
            <w14:solidFill>
              <w14:schemeClr w14:val="tx1"/>
            </w14:solidFill>
          </w14:textFill>
        </w:rPr>
        <w:t>50.96</w:t>
      </w:r>
      <w:r>
        <w:rPr>
          <w:rFonts w:ascii="Times New Roman" w:hAnsi="Times New Roman" w:eastAsia="仿宋_GB2312"/>
          <w:color w:val="000000" w:themeColor="text1"/>
          <w:sz w:val="32"/>
          <w:szCs w:val="32"/>
          <w14:textFill>
            <w14:solidFill>
              <w14:schemeClr w14:val="tx1"/>
            </w14:solidFill>
          </w14:textFill>
        </w:rPr>
        <w:t>万元、专用设备</w:t>
      </w:r>
      <w:r>
        <w:rPr>
          <w:rFonts w:hint="eastAsia" w:ascii="Times New Roman" w:hAnsi="Times New Roman" w:eastAsia="仿宋_GB2312"/>
          <w:color w:val="000000" w:themeColor="text1"/>
          <w:sz w:val="32"/>
          <w:szCs w:val="32"/>
          <w:lang w:val="en-US" w:eastAsia="zh-CN"/>
          <w14:textFill>
            <w14:solidFill>
              <w14:schemeClr w14:val="tx1"/>
            </w14:solidFill>
          </w14:textFill>
        </w:rPr>
        <w:t>4.30</w:t>
      </w:r>
      <w:r>
        <w:rPr>
          <w:rFonts w:ascii="Times New Roman" w:hAnsi="Times New Roman" w:eastAsia="仿宋_GB2312"/>
          <w:color w:val="000000" w:themeColor="text1"/>
          <w:sz w:val="32"/>
          <w:szCs w:val="32"/>
          <w14:textFill>
            <w14:solidFill>
              <w14:schemeClr w14:val="tx1"/>
            </w14:solidFill>
          </w14:textFill>
        </w:rPr>
        <w:t>万元、其他资产</w:t>
      </w:r>
      <w:r>
        <w:rPr>
          <w:rFonts w:hint="eastAsia" w:ascii="Times New Roman" w:hAnsi="Times New Roman" w:eastAsia="仿宋_GB2312"/>
          <w:color w:val="000000" w:themeColor="text1"/>
          <w:sz w:val="32"/>
          <w:szCs w:val="32"/>
          <w:lang w:val="en-US" w:eastAsia="zh-CN"/>
          <w14:textFill>
            <w14:solidFill>
              <w14:schemeClr w14:val="tx1"/>
            </w14:solidFill>
          </w14:textFill>
        </w:rPr>
        <w:t>21.67</w:t>
      </w:r>
      <w:r>
        <w:rPr>
          <w:rFonts w:ascii="Times New Roman" w:hAnsi="Times New Roman" w:eastAsia="仿宋_GB2312"/>
          <w:color w:val="000000" w:themeColor="text1"/>
          <w:sz w:val="32"/>
          <w:szCs w:val="32"/>
          <w14:textFill>
            <w14:solidFill>
              <w14:schemeClr w14:val="tx1"/>
            </w14:solidFill>
          </w14:textFill>
        </w:rPr>
        <w:t>万元。</w:t>
      </w:r>
    </w:p>
    <w:p>
      <w:pPr>
        <w:spacing w:line="560" w:lineRule="exact"/>
        <w:ind w:firstLine="640" w:firstLineChars="200"/>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单位</w:t>
      </w:r>
      <w:r>
        <w:rPr>
          <w:rFonts w:ascii="Times New Roman" w:hAnsi="Times New Roman" w:eastAsia="仿宋_GB2312"/>
          <w:color w:val="000000" w:themeColor="text1"/>
          <w:sz w:val="32"/>
          <w:szCs w:val="32"/>
          <w14:textFill>
            <w14:solidFill>
              <w14:schemeClr w14:val="tx1"/>
            </w14:solidFill>
          </w14:textFill>
        </w:rPr>
        <w:t>车改后保</w:t>
      </w:r>
      <w:r>
        <w:rPr>
          <w:rFonts w:ascii="Times New Roman" w:hAnsi="Times New Roman" w:eastAsia="仿宋_GB2312"/>
          <w:color w:val="000000" w:themeColor="text1"/>
          <w:sz w:val="32"/>
          <w:szCs w:val="32"/>
          <w:u w:val="none"/>
          <w14:textFill>
            <w14:solidFill>
              <w14:schemeClr w14:val="tx1"/>
            </w14:solidFill>
          </w14:textFill>
        </w:rPr>
        <w:t>留车辆</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3</w:t>
      </w:r>
      <w:r>
        <w:rPr>
          <w:rFonts w:ascii="Times New Roman" w:hAnsi="Times New Roman" w:eastAsia="仿宋_GB2312"/>
          <w:color w:val="000000" w:themeColor="text1"/>
          <w:sz w:val="32"/>
          <w:szCs w:val="32"/>
          <w:u w:val="none"/>
          <w14:textFill>
            <w14:solidFill>
              <w14:schemeClr w14:val="tx1"/>
            </w14:solidFill>
          </w14:textFill>
        </w:rPr>
        <w:t>辆，其中，</w:t>
      </w:r>
      <w:r>
        <w:rPr>
          <w:rFonts w:hint="eastAsia" w:ascii="Times New Roman" w:hAnsi="Times New Roman" w:eastAsia="仿宋_GB2312"/>
          <w:color w:val="000000" w:themeColor="text1"/>
          <w:sz w:val="32"/>
          <w:szCs w:val="32"/>
          <w:u w:val="none"/>
          <w14:textFill>
            <w14:solidFill>
              <w14:schemeClr w14:val="tx1"/>
            </w14:solidFill>
          </w14:textFill>
        </w:rPr>
        <w:t>应急保障用车</w:t>
      </w:r>
      <w:r>
        <w:rPr>
          <w:rFonts w:hint="eastAsia" w:ascii="仿宋" w:hAnsi="仿宋" w:eastAsia="仿宋"/>
          <w:color w:val="000000" w:themeColor="text1"/>
          <w:kern w:val="0"/>
          <w:sz w:val="32"/>
          <w:szCs w:val="32"/>
          <w:u w:val="none"/>
          <w:lang w:val="en-US" w:eastAsia="zh-CN"/>
          <w14:textFill>
            <w14:solidFill>
              <w14:schemeClr w14:val="tx1"/>
            </w14:solidFill>
          </w14:textFill>
        </w:rPr>
        <w:t>2</w:t>
      </w:r>
      <w:r>
        <w:rPr>
          <w:rFonts w:hint="eastAsia" w:ascii="Times New Roman" w:hAnsi="Times New Roman" w:eastAsia="仿宋_GB2312"/>
          <w:color w:val="000000" w:themeColor="text1"/>
          <w:sz w:val="32"/>
          <w:szCs w:val="32"/>
          <w:u w:val="none"/>
          <w14:textFill>
            <w14:solidFill>
              <w14:schemeClr w14:val="tx1"/>
            </w14:solidFill>
          </w14:textFill>
        </w:rPr>
        <w:t>辆、其他按照规定配备的公务用车</w:t>
      </w:r>
      <w:r>
        <w:rPr>
          <w:rFonts w:hint="eastAsia" w:ascii="仿宋" w:hAnsi="仿宋" w:eastAsia="仿宋"/>
          <w:color w:val="000000" w:themeColor="text1"/>
          <w:kern w:val="0"/>
          <w:sz w:val="32"/>
          <w:szCs w:val="32"/>
          <w:u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u w:val="none"/>
          <w14:textFill>
            <w14:solidFill>
              <w14:schemeClr w14:val="tx1"/>
            </w14:solidFill>
          </w14:textFill>
        </w:rPr>
        <w:t>辆。</w:t>
      </w:r>
    </w:p>
    <w:p>
      <w:pPr>
        <w:spacing w:line="560" w:lineRule="exact"/>
        <w:ind w:firstLine="640" w:firstLineChars="200"/>
        <w:rPr>
          <w:rFonts w:ascii="Times New Roman" w:hAnsi="Times New Roman" w:eastAsia="仿宋_GB2312"/>
          <w:color w:val="000000" w:themeColor="text1"/>
          <w:sz w:val="32"/>
          <w:szCs w:val="32"/>
          <w:u w:val="none"/>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单位价值</w:t>
      </w:r>
      <w:r>
        <w:rPr>
          <w:rFonts w:ascii="Times New Roman" w:hAnsi="Times New Roman" w:eastAsia="仿宋_GB2312"/>
          <w:color w:val="000000" w:themeColor="text1"/>
          <w:sz w:val="32"/>
          <w:szCs w:val="32"/>
          <w:u w:val="none"/>
          <w14:textFill>
            <w14:solidFill>
              <w14:schemeClr w14:val="tx1"/>
            </w14:solidFill>
          </w14:textFill>
        </w:rPr>
        <w:t>50万元以上的通用设备有</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0</w:t>
      </w:r>
      <w:r>
        <w:rPr>
          <w:rFonts w:ascii="Times New Roman" w:hAnsi="Times New Roman" w:eastAsia="仿宋_GB2312"/>
          <w:color w:val="000000" w:themeColor="text1"/>
          <w:sz w:val="32"/>
          <w:szCs w:val="32"/>
          <w:u w:val="none"/>
          <w14:textFill>
            <w14:solidFill>
              <w14:schemeClr w14:val="tx1"/>
            </w14:solidFill>
          </w14:textFill>
        </w:rPr>
        <w:t xml:space="preserve"> 台（套），单位价值100万元以上的专用设备有</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0</w:t>
      </w:r>
      <w:r>
        <w:rPr>
          <w:rFonts w:ascii="Times New Roman" w:hAnsi="Times New Roman" w:eastAsia="仿宋_GB2312"/>
          <w:color w:val="000000" w:themeColor="text1"/>
          <w:sz w:val="32"/>
          <w:szCs w:val="32"/>
          <w:u w:val="none"/>
          <w14:textFill>
            <w14:solidFill>
              <w14:schemeClr w14:val="tx1"/>
            </w14:solidFill>
          </w14:textFill>
        </w:rPr>
        <w:t xml:space="preserve">台（套）。 </w:t>
      </w:r>
    </w:p>
    <w:p>
      <w:pPr>
        <w:spacing w:line="560" w:lineRule="exact"/>
        <w:ind w:firstLine="640" w:firstLineChars="200"/>
        <w:rPr>
          <w:rFonts w:ascii="Times New Roman" w:hAnsi="Times New Roman" w:eastAsia="楷体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2023年</w:t>
      </w:r>
      <w:r>
        <w:rPr>
          <w:rFonts w:ascii="Times New Roman" w:hAnsi="Times New Roman" w:eastAsia="仿宋_GB2312"/>
          <w:color w:val="000000" w:themeColor="text1"/>
          <w:kern w:val="0"/>
          <w:sz w:val="32"/>
          <w:szCs w:val="32"/>
          <w:u w:val="none"/>
          <w14:textFill>
            <w14:solidFill>
              <w14:schemeClr w14:val="tx1"/>
            </w14:solidFill>
          </w14:textFill>
        </w:rPr>
        <w:t>部门预算安排购置车辆</w:t>
      </w:r>
      <w:r>
        <w:rPr>
          <w:rFonts w:hint="eastAsia" w:ascii="Times New Roman" w:hAnsi="Times New Roman" w:eastAsia="仿宋_GB2312"/>
          <w:color w:val="000000" w:themeColor="text1"/>
          <w:kern w:val="0"/>
          <w:sz w:val="32"/>
          <w:szCs w:val="32"/>
          <w:u w:val="none"/>
          <w:lang w:val="en-US" w:eastAsia="zh-CN"/>
          <w14:textFill>
            <w14:solidFill>
              <w14:schemeClr w14:val="tx1"/>
            </w14:solidFill>
          </w14:textFill>
        </w:rPr>
        <w:t>0</w:t>
      </w:r>
      <w:r>
        <w:rPr>
          <w:rFonts w:ascii="Times New Roman" w:hAnsi="Times New Roman" w:eastAsia="仿宋_GB2312"/>
          <w:color w:val="000000" w:themeColor="text1"/>
          <w:kern w:val="0"/>
          <w:sz w:val="32"/>
          <w:szCs w:val="32"/>
          <w:u w:val="none"/>
          <w14:textFill>
            <w14:solidFill>
              <w14:schemeClr w14:val="tx1"/>
            </w14:solidFill>
          </w14:textFill>
        </w:rPr>
        <w:t xml:space="preserve"> 辆，购置费</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0</w:t>
      </w:r>
      <w:r>
        <w:rPr>
          <w:rFonts w:ascii="Times New Roman" w:hAnsi="Times New Roman" w:eastAsia="仿宋_GB2312"/>
          <w:color w:val="000000" w:themeColor="text1"/>
          <w:sz w:val="32"/>
          <w:szCs w:val="32"/>
          <w:u w:val="none"/>
          <w14:textFill>
            <w14:solidFill>
              <w14:schemeClr w14:val="tx1"/>
            </w14:solidFill>
          </w14:textFill>
        </w:rPr>
        <w:t>万元。</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2023年</w:t>
      </w:r>
      <w:r>
        <w:rPr>
          <w:rFonts w:ascii="Times New Roman" w:hAnsi="Times New Roman" w:eastAsia="仿宋_GB2312"/>
          <w:color w:val="000000" w:themeColor="text1"/>
          <w:kern w:val="0"/>
          <w:sz w:val="32"/>
          <w:szCs w:val="32"/>
          <w:u w:val="none"/>
          <w14:textFill>
            <w14:solidFill>
              <w14:schemeClr w14:val="tx1"/>
            </w14:solidFill>
          </w14:textFill>
        </w:rPr>
        <w:t>部门预算安排购置单位价值50万元以上的通用设备</w:t>
      </w:r>
      <w:r>
        <w:rPr>
          <w:rFonts w:hint="eastAsia" w:ascii="Times New Roman" w:hAnsi="Times New Roman" w:eastAsia="仿宋_GB2312"/>
          <w:color w:val="000000" w:themeColor="text1"/>
          <w:kern w:val="0"/>
          <w:sz w:val="32"/>
          <w:szCs w:val="32"/>
          <w:u w:val="none"/>
          <w:lang w:val="en-US" w:eastAsia="zh-CN"/>
          <w14:textFill>
            <w14:solidFill>
              <w14:schemeClr w14:val="tx1"/>
            </w14:solidFill>
          </w14:textFill>
        </w:rPr>
        <w:t>0</w:t>
      </w:r>
      <w:r>
        <w:rPr>
          <w:rFonts w:ascii="Times New Roman" w:hAnsi="Times New Roman" w:eastAsia="仿宋_GB2312"/>
          <w:color w:val="000000" w:themeColor="text1"/>
          <w:kern w:val="0"/>
          <w:sz w:val="32"/>
          <w:szCs w:val="32"/>
          <w:u w:val="none"/>
          <w14:textFill>
            <w14:solidFill>
              <w14:schemeClr w14:val="tx1"/>
            </w14:solidFill>
          </w14:textFill>
        </w:rPr>
        <w:t>台（套），购置费</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0</w:t>
      </w:r>
      <w:r>
        <w:rPr>
          <w:rFonts w:ascii="Times New Roman" w:hAnsi="Times New Roman" w:eastAsia="仿宋_GB2312"/>
          <w:color w:val="000000" w:themeColor="text1"/>
          <w:sz w:val="32"/>
          <w:szCs w:val="32"/>
          <w:u w:val="none"/>
          <w14:textFill>
            <w14:solidFill>
              <w14:schemeClr w14:val="tx1"/>
            </w14:solidFill>
          </w14:textFill>
        </w:rPr>
        <w:t>万元；</w:t>
      </w:r>
      <w:r>
        <w:rPr>
          <w:rFonts w:ascii="Times New Roman" w:hAnsi="Times New Roman" w:eastAsia="仿宋_GB2312"/>
          <w:color w:val="000000" w:themeColor="text1"/>
          <w:kern w:val="0"/>
          <w:sz w:val="32"/>
          <w:szCs w:val="32"/>
          <w:u w:val="none"/>
          <w14:textFill>
            <w14:solidFill>
              <w14:schemeClr w14:val="tx1"/>
            </w14:solidFill>
          </w14:textFill>
        </w:rPr>
        <w:t>安排购置单位价值100万元以上专用设备</w:t>
      </w:r>
      <w:r>
        <w:rPr>
          <w:rFonts w:hint="eastAsia" w:ascii="Times New Roman" w:hAnsi="Times New Roman" w:eastAsia="仿宋_GB2312"/>
          <w:color w:val="000000" w:themeColor="text1"/>
          <w:kern w:val="0"/>
          <w:sz w:val="32"/>
          <w:szCs w:val="32"/>
          <w:u w:val="none"/>
          <w:lang w:val="en-US" w:eastAsia="zh-CN"/>
          <w14:textFill>
            <w14:solidFill>
              <w14:schemeClr w14:val="tx1"/>
            </w14:solidFill>
          </w14:textFill>
        </w:rPr>
        <w:t>0</w:t>
      </w:r>
      <w:r>
        <w:rPr>
          <w:rFonts w:ascii="Times New Roman" w:hAnsi="Times New Roman" w:eastAsia="仿宋_GB2312"/>
          <w:color w:val="000000" w:themeColor="text1"/>
          <w:kern w:val="0"/>
          <w:sz w:val="32"/>
          <w:szCs w:val="32"/>
          <w:u w:val="none"/>
          <w14:textFill>
            <w14:solidFill>
              <w14:schemeClr w14:val="tx1"/>
            </w14:solidFill>
          </w14:textFill>
        </w:rPr>
        <w:t>台（套），购置费</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0</w:t>
      </w:r>
      <w:r>
        <w:rPr>
          <w:rFonts w:ascii="Times New Roman" w:hAnsi="Times New Roman" w:eastAsia="仿宋_GB2312"/>
          <w:color w:val="000000" w:themeColor="text1"/>
          <w:sz w:val="32"/>
          <w:szCs w:val="32"/>
          <w:u w:val="none"/>
          <w14:textFill>
            <w14:solidFill>
              <w14:schemeClr w14:val="tx1"/>
            </w14:solidFill>
          </w14:textFill>
        </w:rPr>
        <w:t>万元</w:t>
      </w:r>
      <w:r>
        <w:rPr>
          <w:rFonts w:ascii="Times New Roman" w:hAnsi="Times New Roman" w:eastAsia="仿宋_GB2312"/>
          <w:color w:val="000000" w:themeColor="text1"/>
          <w:sz w:val="32"/>
          <w:szCs w:val="32"/>
          <w14:textFill>
            <w14:solidFill>
              <w14:schemeClr w14:val="tx1"/>
            </w14:solidFill>
          </w14:textFill>
        </w:rPr>
        <w:t>。</w:t>
      </w:r>
    </w:p>
    <w:p>
      <w:pPr>
        <w:spacing w:line="560" w:lineRule="exact"/>
        <w:ind w:firstLine="643" w:firstLineChars="200"/>
        <w:rPr>
          <w:rFonts w:ascii="Times New Roman" w:hAnsi="Times New Roman" w:eastAsia="仿宋_GB2312"/>
          <w:b/>
          <w:color w:val="000000" w:themeColor="text1"/>
          <w:kern w:val="0"/>
          <w:sz w:val="32"/>
          <w:szCs w:val="32"/>
          <w14:textFill>
            <w14:solidFill>
              <w14:schemeClr w14:val="tx1"/>
            </w14:solidFill>
          </w14:textFill>
        </w:rPr>
      </w:pP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五</w:t>
      </w:r>
      <w:r>
        <w:rPr>
          <w:rFonts w:ascii="Times New Roman" w:hAnsi="Times New Roman" w:eastAsia="仿宋_GB2312"/>
          <w:b/>
          <w:color w:val="000000" w:themeColor="text1"/>
          <w:kern w:val="0"/>
          <w:sz w:val="32"/>
          <w:szCs w:val="32"/>
          <w14:textFill>
            <w14:solidFill>
              <w14:schemeClr w14:val="tx1"/>
            </w14:solidFill>
          </w14:textFill>
        </w:rPr>
        <w:t>）</w:t>
      </w:r>
      <w:r>
        <w:rPr>
          <w:rFonts w:hint="eastAsia" w:ascii="Times New Roman" w:hAnsi="Times New Roman" w:eastAsia="仿宋_GB2312"/>
          <w:b/>
          <w:color w:val="000000" w:themeColor="text1"/>
          <w:kern w:val="0"/>
          <w:sz w:val="32"/>
          <w:szCs w:val="32"/>
          <w14:textFill>
            <w14:solidFill>
              <w14:schemeClr w14:val="tx1"/>
            </w14:solidFill>
          </w14:textFill>
        </w:rPr>
        <w:t>政府投资公益性</w:t>
      </w:r>
      <w:r>
        <w:rPr>
          <w:rFonts w:ascii="Times New Roman" w:hAnsi="Times New Roman" w:eastAsia="仿宋_GB2312"/>
          <w:b/>
          <w:color w:val="000000" w:themeColor="text1"/>
          <w:kern w:val="0"/>
          <w:sz w:val="32"/>
          <w:szCs w:val="32"/>
          <w14:textFill>
            <w14:solidFill>
              <w14:schemeClr w14:val="tx1"/>
            </w14:solidFill>
          </w14:textFill>
        </w:rPr>
        <w:t>信息化项目情况。</w:t>
      </w:r>
    </w:p>
    <w:p>
      <w:pPr>
        <w:spacing w:line="560" w:lineRule="exact"/>
        <w:ind w:firstLine="640" w:firstLineChars="200"/>
        <w:rPr>
          <w:rFonts w:ascii="Times New Roman" w:hAnsi="Times New Roman" w:eastAsia="楷体"/>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2023年</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ascii="Times New Roman" w:hAnsi="Times New Roman" w:eastAsia="仿宋_GB2312"/>
          <w:color w:val="000000" w:themeColor="text1"/>
          <w:kern w:val="0"/>
          <w:sz w:val="32"/>
          <w:szCs w:val="32"/>
          <w14:textFill>
            <w14:solidFill>
              <w14:schemeClr w14:val="tx1"/>
            </w14:solidFill>
          </w14:textFill>
        </w:rPr>
        <w:t>部门预算安排</w:t>
      </w:r>
      <w:r>
        <w:rPr>
          <w:rFonts w:ascii="Times New Roman" w:hAnsi="Times New Roman" w:eastAsia="仿宋_GB2312"/>
          <w:color w:val="000000" w:themeColor="text1"/>
          <w:sz w:val="32"/>
          <w:szCs w:val="32"/>
          <w14:textFill>
            <w14:solidFill>
              <w14:schemeClr w14:val="tx1"/>
            </w14:solidFill>
          </w14:textFill>
        </w:rPr>
        <w:t>单项100万元以上的</w:t>
      </w:r>
      <w:r>
        <w:rPr>
          <w:rFonts w:hint="eastAsia" w:ascii="Times New Roman" w:hAnsi="Times New Roman" w:eastAsia="仿宋_GB2312"/>
          <w:color w:val="000000" w:themeColor="text1"/>
          <w:sz w:val="32"/>
          <w:szCs w:val="32"/>
          <w14:textFill>
            <w14:solidFill>
              <w14:schemeClr w14:val="tx1"/>
            </w14:solidFill>
          </w14:textFill>
        </w:rPr>
        <w:t>政府投资公益性</w:t>
      </w:r>
      <w:r>
        <w:rPr>
          <w:rFonts w:ascii="Times New Roman" w:hAnsi="Times New Roman" w:eastAsia="仿宋_GB2312"/>
          <w:color w:val="000000" w:themeColor="text1"/>
          <w:kern w:val="0"/>
          <w:sz w:val="32"/>
          <w:szCs w:val="32"/>
          <w14:textFill>
            <w14:solidFill>
              <w14:schemeClr w14:val="tx1"/>
            </w14:solidFill>
          </w14:textFill>
        </w:rPr>
        <w:t>信息化</w:t>
      </w:r>
      <w:r>
        <w:rPr>
          <w:rFonts w:ascii="Times New Roman" w:hAnsi="Times New Roman" w:eastAsia="仿宋_GB2312"/>
          <w:color w:val="000000" w:themeColor="text1"/>
          <w:kern w:val="0"/>
          <w:sz w:val="32"/>
          <w:szCs w:val="32"/>
          <w:u w:val="none"/>
          <w14:textFill>
            <w14:solidFill>
              <w14:schemeClr w14:val="tx1"/>
            </w14:solidFill>
          </w14:textFill>
        </w:rPr>
        <w:t xml:space="preserve">项目 </w:t>
      </w:r>
      <w:r>
        <w:rPr>
          <w:rFonts w:hint="eastAsia" w:ascii="Times New Roman" w:hAnsi="Times New Roman" w:eastAsia="仿宋_GB2312"/>
          <w:color w:val="000000" w:themeColor="text1"/>
          <w:kern w:val="0"/>
          <w:sz w:val="32"/>
          <w:szCs w:val="32"/>
          <w:u w:val="none"/>
          <w:lang w:val="en-US" w:eastAsia="zh-CN"/>
          <w14:textFill>
            <w14:solidFill>
              <w14:schemeClr w14:val="tx1"/>
            </w14:solidFill>
          </w14:textFill>
        </w:rPr>
        <w:t>0</w:t>
      </w:r>
      <w:r>
        <w:rPr>
          <w:rFonts w:ascii="Times New Roman" w:hAnsi="Times New Roman" w:eastAsia="仿宋_GB2312"/>
          <w:color w:val="000000" w:themeColor="text1"/>
          <w:kern w:val="0"/>
          <w:sz w:val="32"/>
          <w:szCs w:val="32"/>
          <w:u w:val="none"/>
          <w14:textFill>
            <w14:solidFill>
              <w14:schemeClr w14:val="tx1"/>
            </w14:solidFill>
          </w14:textFill>
        </w:rPr>
        <w:t xml:space="preserve"> 个，预算</w:t>
      </w:r>
      <w:r>
        <w:rPr>
          <w:rFonts w:ascii="Times New Roman" w:hAnsi="Times New Roman" w:eastAsia="仿宋_GB2312"/>
          <w:color w:val="000000" w:themeColor="text1"/>
          <w:kern w:val="0"/>
          <w:sz w:val="32"/>
          <w:szCs w:val="32"/>
          <w14:textFill>
            <w14:solidFill>
              <w14:schemeClr w14:val="tx1"/>
            </w14:solidFill>
          </w14:textFill>
        </w:rPr>
        <w:t>资金</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w:t>
      </w:r>
    </w:p>
    <w:p>
      <w:pPr>
        <w:spacing w:line="560" w:lineRule="exact"/>
        <w:jc w:val="center"/>
        <w:rPr>
          <w:rFonts w:ascii="Times New Roman" w:hAnsi="Times New Roman" w:eastAsia="黑体"/>
          <w:color w:val="000000" w:themeColor="text1"/>
          <w:sz w:val="36"/>
          <w:szCs w:val="36"/>
          <w14:textFill>
            <w14:solidFill>
              <w14:schemeClr w14:val="tx1"/>
            </w14:solidFill>
          </w14:textFill>
        </w:rPr>
      </w:pPr>
    </w:p>
    <w:p>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 xml:space="preserve">第四部分 </w:t>
      </w:r>
      <w:r>
        <w:rPr>
          <w:rFonts w:hint="eastAsia" w:ascii="Times New Roman" w:hAnsi="Times New Roman" w:eastAsia="黑体"/>
          <w:color w:val="000000" w:themeColor="text1"/>
          <w:sz w:val="36"/>
          <w:szCs w:val="36"/>
          <w14:textFill>
            <w14:solidFill>
              <w14:schemeClr w14:val="tx1"/>
            </w14:solidFill>
          </w14:textFill>
        </w:rPr>
        <w:t>2023年转移支付预算情况说明</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hint="eastAsia" w:ascii="Times New Roman" w:hAnsi="Times New Roman" w:eastAsia="仿宋_GB2312"/>
          <w:color w:val="000000" w:themeColor="text1"/>
          <w:sz w:val="32"/>
          <w:szCs w:val="32"/>
          <w14:textFill>
            <w14:solidFill>
              <w14:schemeClr w14:val="tx1"/>
            </w14:solidFill>
          </w14:textFill>
        </w:rPr>
        <w:t>无主管的对下转移支付预算项目</w:t>
      </w:r>
      <w:r>
        <w:rPr>
          <w:rFonts w:hint="eastAsia" w:ascii="Times New Roman" w:hAnsi="Times New Roman" w:eastAsia="楷体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楷体"/>
          <w:color w:val="000000" w:themeColor="text1"/>
          <w:kern w:val="0"/>
          <w:sz w:val="32"/>
          <w:szCs w:val="32"/>
          <w14:textFill>
            <w14:solidFill>
              <w14:schemeClr w14:val="tx1"/>
            </w14:solidFill>
          </w14:textFill>
        </w:rPr>
      </w:pPr>
    </w:p>
    <w:p>
      <w:pPr>
        <w:spacing w:line="560" w:lineRule="exact"/>
        <w:jc w:val="center"/>
        <w:rPr>
          <w:rFonts w:ascii="Times New Roman" w:hAnsi="Times New Roman" w:eastAsia="黑体"/>
          <w:color w:val="000000" w:themeColor="text1"/>
          <w:sz w:val="36"/>
          <w:szCs w:val="36"/>
          <w14:textFill>
            <w14:solidFill>
              <w14:schemeClr w14:val="tx1"/>
            </w14:solidFill>
          </w14:textFill>
        </w:rPr>
      </w:pPr>
    </w:p>
    <w:p>
      <w:pPr>
        <w:spacing w:line="560" w:lineRule="exact"/>
        <w:jc w:val="center"/>
        <w:rPr>
          <w:rFonts w:ascii="Times New Roman" w:hAnsi="Times New Roman" w:eastAsia="黑体"/>
          <w:color w:val="000000" w:themeColor="text1"/>
          <w:sz w:val="36"/>
          <w:szCs w:val="36"/>
          <w14:textFill>
            <w14:solidFill>
              <w14:schemeClr w14:val="tx1"/>
            </w14:solidFill>
          </w14:textFill>
        </w:rPr>
      </w:pPr>
      <w:r>
        <w:rPr>
          <w:rFonts w:ascii="Times New Roman" w:hAnsi="Times New Roman" w:eastAsia="黑体"/>
          <w:color w:val="000000" w:themeColor="text1"/>
          <w:sz w:val="36"/>
          <w:szCs w:val="36"/>
          <w14:textFill>
            <w14:solidFill>
              <w14:schemeClr w14:val="tx1"/>
            </w14:solidFill>
          </w14:textFill>
        </w:rPr>
        <w:t>第</w:t>
      </w:r>
      <w:r>
        <w:rPr>
          <w:rFonts w:hint="eastAsia" w:ascii="Times New Roman" w:hAnsi="Times New Roman" w:eastAsia="黑体"/>
          <w:color w:val="000000" w:themeColor="text1"/>
          <w:sz w:val="36"/>
          <w:szCs w:val="36"/>
          <w14:textFill>
            <w14:solidFill>
              <w14:schemeClr w14:val="tx1"/>
            </w14:solidFill>
          </w14:textFill>
        </w:rPr>
        <w:t>五</w:t>
      </w:r>
      <w:r>
        <w:rPr>
          <w:rFonts w:ascii="Times New Roman" w:hAnsi="Times New Roman" w:eastAsia="黑体"/>
          <w:color w:val="000000" w:themeColor="text1"/>
          <w:sz w:val="36"/>
          <w:szCs w:val="36"/>
          <w14:textFill>
            <w14:solidFill>
              <w14:schemeClr w14:val="tx1"/>
            </w14:solidFill>
          </w14:textFill>
        </w:rPr>
        <w:t>部分 名词解释</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一、财政拨款收入</w:t>
      </w:r>
      <w:r>
        <w:rPr>
          <w:rFonts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指市财政当年拨付的资金，主要包括一般公共预算拨款收入、政府性基金预算拨款收入、国有资本经营预算拨款收入。</w:t>
      </w:r>
    </w:p>
    <w:p>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二、财政专户管理</w:t>
      </w:r>
      <w:r>
        <w:rPr>
          <w:rFonts w:hint="eastAsia" w:ascii="Times New Roman" w:hAnsi="Times New Roman" w:eastAsia="黑体" w:cs="Times New Roman"/>
          <w:color w:val="000000" w:themeColor="text1"/>
          <w:sz w:val="32"/>
          <w:szCs w:val="32"/>
          <w14:textFill>
            <w14:solidFill>
              <w14:schemeClr w14:val="tx1"/>
            </w14:solidFill>
          </w14:textFill>
        </w:rPr>
        <w:t>资金</w:t>
      </w:r>
      <w:r>
        <w:rPr>
          <w:rFonts w:ascii="Times New Roman" w:hAnsi="Times New Roman" w:eastAsia="黑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指按照非税收入管理相关规定，纳入财政专户管理的教育收费等。</w:t>
      </w:r>
    </w:p>
    <w:p>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三、其他收入：</w:t>
      </w:r>
      <w:r>
        <w:rPr>
          <w:rFonts w:ascii="Times New Roman" w:hAnsi="Times New Roman" w:eastAsia="仿宋_GB2312" w:cs="Times New Roman"/>
          <w:color w:val="000000" w:themeColor="text1"/>
          <w:kern w:val="2"/>
          <w:sz w:val="32"/>
          <w:szCs w:val="32"/>
          <w14:textFill>
            <w14:solidFill>
              <w14:schemeClr w14:val="tx1"/>
            </w14:solidFill>
          </w14:textFill>
        </w:rPr>
        <w:t>指除了财政拨款收入、财政专户管理</w:t>
      </w:r>
      <w:r>
        <w:rPr>
          <w:rFonts w:hint="eastAsia" w:ascii="Times New Roman" w:hAnsi="Times New Roman" w:eastAsia="仿宋_GB2312" w:cs="Times New Roman"/>
          <w:color w:val="000000" w:themeColor="text1"/>
          <w:kern w:val="2"/>
          <w:sz w:val="32"/>
          <w:szCs w:val="32"/>
          <w14:textFill>
            <w14:solidFill>
              <w14:schemeClr w14:val="tx1"/>
            </w14:solidFill>
          </w14:textFill>
        </w:rPr>
        <w:t>资金</w:t>
      </w:r>
      <w:r>
        <w:rPr>
          <w:rFonts w:ascii="Times New Roman" w:hAnsi="Times New Roman" w:eastAsia="仿宋_GB2312" w:cs="Times New Roman"/>
          <w:color w:val="000000" w:themeColor="text1"/>
          <w:kern w:val="2"/>
          <w:sz w:val="32"/>
          <w:szCs w:val="32"/>
          <w14:textFill>
            <w14:solidFill>
              <w14:schemeClr w14:val="tx1"/>
            </w14:solidFill>
          </w14:textFill>
        </w:rPr>
        <w:t>收入等以外的收入。</w:t>
      </w:r>
    </w:p>
    <w:p>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四、上年结转：</w:t>
      </w:r>
      <w:r>
        <w:rPr>
          <w:rFonts w:ascii="Times New Roman" w:hAnsi="Times New Roman" w:eastAsia="仿宋_GB2312" w:cs="Times New Roman"/>
          <w:color w:val="000000" w:themeColor="text1"/>
          <w:kern w:val="2"/>
          <w:sz w:val="32"/>
          <w:szCs w:val="32"/>
          <w14:textFill>
            <w14:solidFill>
              <w14:schemeClr w14:val="tx1"/>
            </w14:solidFill>
          </w14:textFill>
        </w:rPr>
        <w:t>指以前年度安排、结转到本年仍按原用途继续使用的资金。</w:t>
      </w:r>
    </w:p>
    <w:p>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五、结转下年：</w:t>
      </w:r>
      <w:r>
        <w:rPr>
          <w:rFonts w:ascii="Times New Roman" w:hAnsi="Times New Roman" w:eastAsia="仿宋_GB2312" w:cs="Times New Roman"/>
          <w:color w:val="000000" w:themeColor="text1"/>
          <w:kern w:val="2"/>
          <w:sz w:val="32"/>
          <w:szCs w:val="32"/>
          <w14:textFill>
            <w14:solidFill>
              <w14:schemeClr w14:val="tx1"/>
            </w14:solidFill>
          </w14:textFill>
        </w:rPr>
        <w:t>指以前年度预算安排、因客观条件发生变化无法按原计划实施，需以后年度按原用途继续使用的资金。</w:t>
      </w:r>
    </w:p>
    <w:p>
      <w:pPr>
        <w:pStyle w:val="5"/>
        <w:widowControl w:val="0"/>
        <w:adjustRightInd w:val="0"/>
        <w:snapToGrid w:val="0"/>
        <w:spacing w:before="0" w:beforeAutospacing="0" w:after="0" w:afterAutospacing="0" w:line="560" w:lineRule="exact"/>
        <w:ind w:firstLine="627" w:firstLineChars="196"/>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六、基本支出</w:t>
      </w:r>
      <w:r>
        <w:rPr>
          <w:rFonts w:ascii="Times New Roman" w:hAnsi="Times New Roman" w:eastAsia="仿宋_GB2312" w:cs="Times New Roman"/>
          <w:b/>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指为保障机构正常运转、完成日常工作任务而发生的人员支出和公用支出。</w:t>
      </w:r>
    </w:p>
    <w:p>
      <w:pPr>
        <w:pStyle w:val="5"/>
        <w:widowControl w:val="0"/>
        <w:spacing w:before="0" w:beforeAutospacing="0" w:after="0" w:afterAutospacing="0" w:line="560" w:lineRule="exact"/>
        <w:ind w:firstLine="627" w:firstLineChars="196"/>
        <w:jc w:val="both"/>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七、项目支出</w:t>
      </w:r>
      <w:r>
        <w:rPr>
          <w:rFonts w:ascii="Times New Roman" w:hAnsi="Times New Roman" w:eastAsia="仿宋_GB2312" w:cs="Times New Roman"/>
          <w:b/>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指在基本支出之外为完成特定行政任务和事业发展目标所发生的支出。</w:t>
      </w:r>
      <w:r>
        <w:rPr>
          <w:rFonts w:ascii="Times New Roman" w:hAnsi="Times New Roman" w:eastAsia="仿宋_GB2312" w:cs="Times New Roman"/>
          <w:color w:val="000000" w:themeColor="text1"/>
          <w:sz w:val="32"/>
          <w:szCs w:val="32"/>
          <w14:textFill>
            <w14:solidFill>
              <w14:schemeClr w14:val="tx1"/>
            </w14:solidFill>
          </w14:textFill>
        </w:rPr>
        <w:br w:type="textWrapping"/>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hint="eastAsia"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八、“三公”经费：</w:t>
      </w:r>
      <w:r>
        <w:rPr>
          <w:rFonts w:ascii="Times New Roman" w:hAnsi="Times New Roman" w:eastAsia="仿宋_GB2312" w:cs="Times New Roman"/>
          <w:color w:val="000000" w:themeColor="text1"/>
          <w:sz w:val="32"/>
          <w:szCs w:val="32"/>
          <w14:textFill>
            <w14:solidFill>
              <w14:schemeClr w14:val="tx1"/>
            </w14:solidFill>
          </w14:textFill>
        </w:rPr>
        <w:t>纳入财政预决算管理的“三公”经费，是指单位用</w:t>
      </w:r>
      <w:r>
        <w:rPr>
          <w:rFonts w:hint="eastAsia" w:ascii="仿宋_GB2312" w:hAnsi="黑体" w:eastAsia="仿宋_GB2312"/>
          <w:color w:val="000000" w:themeColor="text1"/>
          <w:sz w:val="32"/>
          <w:szCs w:val="32"/>
          <w14:textFill>
            <w14:solidFill>
              <w14:schemeClr w14:val="tx1"/>
            </w14:solidFill>
          </w14:textFill>
        </w:rPr>
        <w:t>一般公共预算及政府性基金</w:t>
      </w:r>
      <w:r>
        <w:rPr>
          <w:rFonts w:ascii="Times New Roman" w:hAnsi="Times New Roman" w:eastAsia="仿宋_GB2312" w:cs="Times New Roman"/>
          <w:color w:val="000000" w:themeColor="text1"/>
          <w:sz w:val="32"/>
          <w:szCs w:val="32"/>
          <w14:textFill>
            <w14:solidFill>
              <w14:schemeClr w14:val="tx1"/>
            </w14:solidFill>
          </w14:textFill>
        </w:rPr>
        <w:t>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pPr>
        <w:pStyle w:val="5"/>
        <w:widowControl w:val="0"/>
        <w:spacing w:before="0" w:beforeAutospacing="0" w:after="0" w:afterAutospacing="0" w:line="560" w:lineRule="exact"/>
        <w:ind w:firstLine="627" w:firstLineChars="196"/>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九、机关运行经费</w:t>
      </w:r>
      <w:r>
        <w:rPr>
          <w:rFonts w:ascii="Times New Roman" w:hAnsi="Times New Roman" w:eastAsia="仿宋_GB2312" w:cs="Times New Roman"/>
          <w:color w:val="000000" w:themeColor="text1"/>
          <w:sz w:val="32"/>
          <w:szCs w:val="32"/>
          <w14:textFill>
            <w14:solidFill>
              <w14:schemeClr w14:val="tx1"/>
            </w14:solidFill>
          </w14:textFill>
        </w:rPr>
        <w:t>：指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等。</w:t>
      </w:r>
    </w:p>
    <w:p>
      <w:pPr>
        <w:pStyle w:val="5"/>
        <w:widowControl w:val="0"/>
        <w:spacing w:before="0" w:beforeAutospacing="0" w:after="0" w:afterAutospacing="0" w:line="560" w:lineRule="exact"/>
        <w:ind w:firstLine="627" w:firstLineChars="196"/>
        <w:jc w:val="both"/>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附表：</w:t>
      </w:r>
      <w:r>
        <w:rPr>
          <w:rFonts w:hint="eastAsia" w:ascii="Times New Roman" w:hAnsi="Times New Roman" w:eastAsia="仿宋_GB2312"/>
          <w:color w:val="000000" w:themeColor="text1"/>
          <w:sz w:val="32"/>
          <w:szCs w:val="32"/>
          <w:lang w:val="en-US" w:eastAsia="zh-CN"/>
          <w14:textFill>
            <w14:solidFill>
              <w14:schemeClr w14:val="tx1"/>
            </w14:solidFill>
          </w14:textFill>
        </w:rPr>
        <w:t>巢湖市人大办</w:t>
      </w:r>
      <w:r>
        <w:rPr>
          <w:rFonts w:hint="eastAsia" w:ascii="Times New Roman" w:hAnsi="Times New Roman" w:eastAsia="仿宋_GB2312"/>
          <w:color w:val="000000" w:themeColor="text1"/>
          <w:sz w:val="32"/>
          <w:szCs w:val="32"/>
          <w14:textFill>
            <w14:solidFill>
              <w14:schemeClr w14:val="tx1"/>
            </w14:solidFill>
          </w14:textFill>
        </w:rPr>
        <w:t>2023年预算报表</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张）</w:t>
      </w:r>
    </w:p>
    <w:p>
      <w:pPr>
        <w:spacing w:line="560" w:lineRule="exact"/>
        <w:ind w:firstLine="643" w:firstLineChars="200"/>
        <w:jc w:val="left"/>
        <w:rPr>
          <w:rFonts w:ascii="Times New Roman" w:hAnsi="Times New Roman" w:eastAsia="楷体"/>
          <w:b/>
          <w:color w:val="000000" w:themeColor="text1"/>
          <w:sz w:val="32"/>
          <w:szCs w:val="32"/>
          <w14:textFill>
            <w14:solidFill>
              <w14:schemeClr w14:val="tx1"/>
            </w14:solidFill>
          </w14:textFill>
        </w:rPr>
      </w:pPr>
    </w:p>
    <w:p>
      <w:pPr>
        <w:spacing w:line="600" w:lineRule="exact"/>
        <w:ind w:firstLine="200"/>
        <w:jc w:val="center"/>
        <w:rPr>
          <w:rFonts w:ascii="Times New Roman" w:hAnsi="Times New Roman" w:eastAsia="方正小标宋简体"/>
          <w:color w:val="000000" w:themeColor="text1"/>
          <w:sz w:val="44"/>
          <w:szCs w:val="44"/>
          <w14:textFill>
            <w14:solidFill>
              <w14:schemeClr w14:val="tx1"/>
            </w14:solidFill>
          </w14:textFill>
        </w:rPr>
      </w:pPr>
    </w:p>
    <w:p>
      <w:pPr>
        <w:spacing w:line="600" w:lineRule="exact"/>
        <w:ind w:firstLine="200"/>
        <w:jc w:val="center"/>
        <w:rPr>
          <w:rFonts w:ascii="Times New Roman" w:hAnsi="Times New Roman" w:eastAsia="方正小标宋简体"/>
          <w:color w:val="000000" w:themeColor="text1"/>
          <w:sz w:val="44"/>
          <w:szCs w:val="44"/>
          <w14:textFill>
            <w14:solidFill>
              <w14:schemeClr w14:val="tx1"/>
            </w14:solidFill>
          </w14:textFill>
        </w:rPr>
      </w:pPr>
    </w:p>
    <w:p>
      <w:pPr>
        <w:spacing w:line="600" w:lineRule="exact"/>
        <w:ind w:firstLine="200"/>
        <w:jc w:val="center"/>
        <w:rPr>
          <w:rFonts w:ascii="Times New Roman" w:hAnsi="Times New Roman" w:eastAsia="方正小标宋简体"/>
          <w:color w:val="000000" w:themeColor="text1"/>
          <w:sz w:val="44"/>
          <w:szCs w:val="44"/>
          <w14:textFill>
            <w14:solidFill>
              <w14:schemeClr w14:val="tx1"/>
            </w14:solidFill>
          </w14:textFill>
        </w:rPr>
      </w:pPr>
    </w:p>
    <w:p>
      <w:pPr>
        <w:spacing w:line="600" w:lineRule="exact"/>
        <w:ind w:firstLine="200"/>
        <w:jc w:val="center"/>
        <w:rPr>
          <w:rFonts w:hint="eastAsia" w:ascii="Times New Roman" w:hAnsi="Times New Roman" w:eastAsia="方正小标宋简体"/>
          <w:color w:val="000000" w:themeColor="text1"/>
          <w:sz w:val="44"/>
          <w:szCs w:val="44"/>
          <w14:textFill>
            <w14:solidFill>
              <w14:schemeClr w14:val="tx1"/>
            </w14:solidFill>
          </w14:textFill>
        </w:rPr>
      </w:pPr>
    </w:p>
    <w:p>
      <w:pPr>
        <w:spacing w:line="600" w:lineRule="exact"/>
        <w:ind w:firstLine="200"/>
        <w:jc w:val="center"/>
        <w:rPr>
          <w:rFonts w:hint="eastAsia" w:ascii="Times New Roman" w:hAnsi="Times New Roman" w:eastAsia="方正小标宋简体"/>
          <w:color w:val="000000" w:themeColor="text1"/>
          <w:sz w:val="44"/>
          <w:szCs w:val="44"/>
          <w14:textFill>
            <w14:solidFill>
              <w14:schemeClr w14:val="tx1"/>
            </w14:solidFill>
          </w14:textFill>
        </w:rPr>
      </w:pPr>
    </w:p>
    <w:p>
      <w:pPr>
        <w:spacing w:line="600" w:lineRule="exact"/>
        <w:ind w:firstLine="200"/>
        <w:jc w:val="center"/>
        <w:rPr>
          <w:rFonts w:hint="eastAsia" w:ascii="Times New Roman" w:hAnsi="Times New Roman" w:eastAsia="方正小标宋简体"/>
          <w:color w:val="000000" w:themeColor="text1"/>
          <w:sz w:val="44"/>
          <w:szCs w:val="44"/>
          <w14:textFill>
            <w14:solidFill>
              <w14:schemeClr w14:val="tx1"/>
            </w14:solidFill>
          </w14:textFill>
        </w:rPr>
      </w:pPr>
    </w:p>
    <w:p>
      <w:pPr>
        <w:spacing w:line="600" w:lineRule="exact"/>
        <w:ind w:firstLine="200"/>
        <w:jc w:val="center"/>
        <w:rPr>
          <w:rFonts w:hint="eastAsia" w:ascii="Times New Roman" w:hAnsi="Times New Roman" w:eastAsia="方正小标宋简体"/>
          <w:color w:val="000000" w:themeColor="text1"/>
          <w:sz w:val="44"/>
          <w:szCs w:val="44"/>
          <w14:textFill>
            <w14:solidFill>
              <w14:schemeClr w14:val="tx1"/>
            </w14:solidFill>
          </w14:textFill>
        </w:rPr>
      </w:pPr>
    </w:p>
    <w:p>
      <w:pPr>
        <w:spacing w:line="600" w:lineRule="exact"/>
        <w:jc w:val="both"/>
        <w:rPr>
          <w:rFonts w:ascii="Times New Roman" w:hAnsi="Times New Roman" w:eastAsia="方正小标宋简体"/>
          <w:color w:val="000000" w:themeColor="text1"/>
          <w:sz w:val="44"/>
          <w:szCs w:val="44"/>
          <w14:textFill>
            <w14:solidFill>
              <w14:schemeClr w14:val="tx1"/>
            </w14:solidFill>
          </w14:textFill>
        </w:rPr>
      </w:pPr>
    </w:p>
    <w:p>
      <w:pPr>
        <w:spacing w:line="600" w:lineRule="exact"/>
        <w:ind w:firstLine="200"/>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巢湖市</w:t>
      </w:r>
      <w:r>
        <w:rPr>
          <w:rFonts w:hint="eastAsia" w:ascii="Times New Roman" w:hAnsi="Times New Roman" w:eastAsia="方正小标宋简体"/>
          <w:color w:val="000000" w:themeColor="text1"/>
          <w:sz w:val="44"/>
          <w:szCs w:val="44"/>
          <w:highlight w:val="none"/>
          <w:lang w:val="en-US" w:eastAsia="zh-CN"/>
          <w14:textFill>
            <w14:solidFill>
              <w14:schemeClr w14:val="tx1"/>
            </w14:solidFill>
          </w14:textFill>
        </w:rPr>
        <w:t>人大办</w:t>
      </w:r>
      <w:r>
        <w:rPr>
          <w:rFonts w:hint="eastAsia" w:ascii="Times New Roman" w:hAnsi="Times New Roman" w:eastAsia="方正小标宋简体"/>
          <w:color w:val="000000" w:themeColor="text1"/>
          <w:sz w:val="44"/>
          <w:szCs w:val="44"/>
          <w:highlight w:val="none"/>
          <w14:textFill>
            <w14:solidFill>
              <w14:schemeClr w14:val="tx1"/>
            </w14:solidFill>
          </w14:textFill>
        </w:rPr>
        <w:t>2</w:t>
      </w:r>
      <w:r>
        <w:rPr>
          <w:rFonts w:hint="eastAsia" w:ascii="Times New Roman" w:hAnsi="Times New Roman" w:eastAsia="方正小标宋简体"/>
          <w:color w:val="000000" w:themeColor="text1"/>
          <w:sz w:val="44"/>
          <w:szCs w:val="44"/>
          <w14:textFill>
            <w14:solidFill>
              <w14:schemeClr w14:val="tx1"/>
            </w14:solidFill>
          </w14:textFill>
        </w:rPr>
        <w:t>023年</w:t>
      </w:r>
      <w:r>
        <w:rPr>
          <w:rFonts w:ascii="Times New Roman" w:hAnsi="Times New Roman" w:eastAsia="方正小标宋简体"/>
          <w:color w:val="000000" w:themeColor="text1"/>
          <w:sz w:val="44"/>
          <w:szCs w:val="44"/>
          <w14:textFill>
            <w14:solidFill>
              <w14:schemeClr w14:val="tx1"/>
            </w14:solidFill>
          </w14:textFill>
        </w:rPr>
        <w:t>“三公”经费预算</w:t>
      </w:r>
    </w:p>
    <w:p>
      <w:pPr>
        <w:pStyle w:val="5"/>
        <w:widowControl w:val="0"/>
        <w:adjustRightInd w:val="0"/>
        <w:snapToGrid w:val="0"/>
        <w:spacing w:before="0" w:beforeAutospacing="0" w:after="0" w:afterAutospacing="0" w:line="360" w:lineRule="auto"/>
        <w:jc w:val="center"/>
        <w:outlineLvl w:val="0"/>
        <w:rPr>
          <w:rFonts w:ascii="Times New Roman" w:hAnsi="Times New Roman" w:eastAsia="黑体" w:cs="Times New Roman"/>
          <w:bCs/>
          <w:color w:val="000000" w:themeColor="text1"/>
          <w:sz w:val="36"/>
          <w:szCs w:val="36"/>
          <w14:textFill>
            <w14:solidFill>
              <w14:schemeClr w14:val="tx1"/>
            </w14:solidFill>
          </w14:textFill>
        </w:rPr>
      </w:pPr>
    </w:p>
    <w:p>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为全面反映“三公”经费支出，本次公开的“三公”经费预算为部门汇总数。</w:t>
      </w:r>
    </w:p>
    <w:p>
      <w:pPr>
        <w:spacing w:line="60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“三公”经费支出预算表</w:t>
      </w:r>
    </w:p>
    <w:p>
      <w:pPr>
        <w:spacing w:line="600" w:lineRule="exact"/>
        <w:ind w:firstLine="560" w:firstLineChars="200"/>
        <w:jc w:val="righ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 xml:space="preserve">单位：万元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560"/>
        <w:gridCol w:w="245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2376" w:type="dxa"/>
            <w:vMerge w:val="restart"/>
            <w:vAlign w:val="center"/>
          </w:tcPr>
          <w:p>
            <w:pPr>
              <w:spacing w:line="400" w:lineRule="exact"/>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项目</w:t>
            </w:r>
          </w:p>
        </w:tc>
        <w:tc>
          <w:tcPr>
            <w:tcW w:w="6146" w:type="dxa"/>
            <w:gridSpan w:val="3"/>
            <w:vAlign w:val="center"/>
          </w:tcPr>
          <w:p>
            <w:pPr>
              <w:spacing w:line="400" w:lineRule="exact"/>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2376" w:type="dxa"/>
            <w:vMerge w:val="continue"/>
            <w:vAlign w:val="center"/>
          </w:tcPr>
          <w:p>
            <w:pPr>
              <w:spacing w:line="400" w:lineRule="exact"/>
              <w:jc w:val="center"/>
              <w:rPr>
                <w:rFonts w:ascii="Times New Roman" w:hAnsi="Times New Roman"/>
                <w:b/>
                <w:color w:val="000000" w:themeColor="text1"/>
                <w:szCs w:val="21"/>
                <w14:textFill>
                  <w14:solidFill>
                    <w14:schemeClr w14:val="tx1"/>
                  </w14:solidFill>
                </w14:textFill>
              </w:rPr>
            </w:pPr>
          </w:p>
        </w:tc>
        <w:tc>
          <w:tcPr>
            <w:tcW w:w="1560" w:type="dxa"/>
            <w:vAlign w:val="center"/>
          </w:tcPr>
          <w:p>
            <w:pPr>
              <w:spacing w:line="400" w:lineRule="exact"/>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合计</w:t>
            </w:r>
          </w:p>
        </w:tc>
        <w:tc>
          <w:tcPr>
            <w:tcW w:w="2455" w:type="dxa"/>
            <w:vAlign w:val="center"/>
          </w:tcPr>
          <w:p>
            <w:pPr>
              <w:spacing w:line="400" w:lineRule="exact"/>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一般公共预算财政拨款</w:t>
            </w:r>
          </w:p>
        </w:tc>
        <w:tc>
          <w:tcPr>
            <w:tcW w:w="2131" w:type="dxa"/>
            <w:vAlign w:val="center"/>
          </w:tcPr>
          <w:p>
            <w:pPr>
              <w:spacing w:line="400" w:lineRule="exact"/>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政府性基金财政拨款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Align w:val="center"/>
          </w:tcPr>
          <w:p>
            <w:pPr>
              <w:spacing w:line="5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因公出国（境）费</w:t>
            </w:r>
          </w:p>
          <w:p>
            <w:pPr>
              <w:spacing w:line="500" w:lineRule="exact"/>
              <w:jc w:val="center"/>
              <w:rPr>
                <w:rFonts w:ascii="Times New Roman" w:hAnsi="Times New Roman"/>
                <w:color w:val="000000" w:themeColor="text1"/>
                <w:szCs w:val="21"/>
                <w14:textFill>
                  <w14:solidFill>
                    <w14:schemeClr w14:val="tx1"/>
                  </w14:solidFill>
                </w14:textFill>
              </w:rPr>
            </w:pPr>
          </w:p>
          <w:p>
            <w:pPr>
              <w:spacing w:line="500" w:lineRule="exact"/>
              <w:jc w:val="center"/>
              <w:rPr>
                <w:rFonts w:ascii="Times New Roman" w:hAnsi="Times New Roman"/>
                <w:color w:val="000000" w:themeColor="text1"/>
                <w:szCs w:val="21"/>
                <w14:textFill>
                  <w14:solidFill>
                    <w14:schemeClr w14:val="tx1"/>
                  </w14:solidFill>
                </w14:textFill>
              </w:rPr>
            </w:pPr>
          </w:p>
          <w:p>
            <w:pPr>
              <w:spacing w:line="500" w:lineRule="exact"/>
              <w:jc w:val="center"/>
              <w:rPr>
                <w:rFonts w:ascii="Times New Roman" w:hAnsi="Times New Roman"/>
                <w:color w:val="000000" w:themeColor="text1"/>
                <w:szCs w:val="21"/>
                <w14:textFill>
                  <w14:solidFill>
                    <w14:schemeClr w14:val="tx1"/>
                  </w14:solidFill>
                </w14:textFill>
              </w:rPr>
            </w:pPr>
          </w:p>
        </w:tc>
        <w:tc>
          <w:tcPr>
            <w:tcW w:w="1560" w:type="dxa"/>
            <w:vAlign w:val="center"/>
          </w:tcPr>
          <w:p>
            <w:pPr>
              <w:spacing w:line="50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455" w:type="dxa"/>
            <w:vAlign w:val="center"/>
          </w:tcPr>
          <w:p>
            <w:pPr>
              <w:spacing w:line="500" w:lineRule="exact"/>
              <w:rPr>
                <w:rFonts w:hint="default" w:ascii="Times New Roman" w:hAnsi="Times New Roman" w:eastAsia="宋体"/>
                <w:color w:val="000000" w:themeColor="text1"/>
                <w:szCs w:val="21"/>
                <w:lang w:val="en-US" w:eastAsia="zh-CN"/>
                <w14:textFill>
                  <w14:solidFill>
                    <w14:schemeClr w14:val="tx1"/>
                  </w14:solidFill>
                </w14:textFill>
              </w:rPr>
            </w:pPr>
          </w:p>
        </w:tc>
        <w:tc>
          <w:tcPr>
            <w:tcW w:w="2131" w:type="dxa"/>
            <w:vAlign w:val="center"/>
          </w:tcPr>
          <w:p>
            <w:pPr>
              <w:spacing w:line="500" w:lineRule="exact"/>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Align w:val="center"/>
          </w:tcPr>
          <w:p>
            <w:pPr>
              <w:spacing w:line="5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公务接待费</w:t>
            </w:r>
          </w:p>
        </w:tc>
        <w:tc>
          <w:tcPr>
            <w:tcW w:w="1560" w:type="dxa"/>
            <w:vAlign w:val="center"/>
          </w:tcPr>
          <w:p>
            <w:pPr>
              <w:spacing w:line="50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3.00</w:t>
            </w:r>
          </w:p>
        </w:tc>
        <w:tc>
          <w:tcPr>
            <w:tcW w:w="2455" w:type="dxa"/>
            <w:vAlign w:val="center"/>
          </w:tcPr>
          <w:p>
            <w:pPr>
              <w:spacing w:line="500" w:lineRule="exact"/>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3.00</w:t>
            </w:r>
          </w:p>
        </w:tc>
        <w:tc>
          <w:tcPr>
            <w:tcW w:w="2131" w:type="dxa"/>
            <w:vAlign w:val="center"/>
          </w:tcPr>
          <w:p>
            <w:pPr>
              <w:spacing w:line="500" w:lineRule="exact"/>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Align w:val="center"/>
          </w:tcPr>
          <w:p>
            <w:pPr>
              <w:spacing w:line="500" w:lineRule="exac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公务用车购置及运行费</w:t>
            </w:r>
          </w:p>
        </w:tc>
        <w:tc>
          <w:tcPr>
            <w:tcW w:w="1560" w:type="dxa"/>
            <w:vAlign w:val="center"/>
          </w:tcPr>
          <w:p>
            <w:pPr>
              <w:spacing w:line="50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10.50</w:t>
            </w:r>
          </w:p>
        </w:tc>
        <w:tc>
          <w:tcPr>
            <w:tcW w:w="2455" w:type="dxa"/>
            <w:vAlign w:val="center"/>
          </w:tcPr>
          <w:p>
            <w:pPr>
              <w:spacing w:line="500" w:lineRule="exact"/>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10.50</w:t>
            </w:r>
          </w:p>
        </w:tc>
        <w:tc>
          <w:tcPr>
            <w:tcW w:w="2131" w:type="dxa"/>
            <w:vAlign w:val="center"/>
          </w:tcPr>
          <w:p>
            <w:pPr>
              <w:spacing w:line="500" w:lineRule="exact"/>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Align w:val="center"/>
          </w:tcPr>
          <w:p>
            <w:pPr>
              <w:spacing w:line="50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 xml:space="preserve"> 其中：</w:t>
            </w:r>
            <w:r>
              <w:rPr>
                <w:rFonts w:ascii="Times New Roman" w:hAnsi="Times New Roman"/>
                <w:color w:val="000000" w:themeColor="text1"/>
                <w:szCs w:val="21"/>
                <w14:textFill>
                  <w14:solidFill>
                    <w14:schemeClr w14:val="tx1"/>
                  </w14:solidFill>
                </w14:textFill>
              </w:rPr>
              <w:t>公务用车运行费</w:t>
            </w:r>
          </w:p>
        </w:tc>
        <w:tc>
          <w:tcPr>
            <w:tcW w:w="1560" w:type="dxa"/>
            <w:vAlign w:val="center"/>
          </w:tcPr>
          <w:p>
            <w:pPr>
              <w:spacing w:line="50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10.50</w:t>
            </w:r>
          </w:p>
        </w:tc>
        <w:tc>
          <w:tcPr>
            <w:tcW w:w="2455" w:type="dxa"/>
            <w:vAlign w:val="center"/>
          </w:tcPr>
          <w:p>
            <w:pPr>
              <w:spacing w:line="500" w:lineRule="exact"/>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10.50</w:t>
            </w:r>
          </w:p>
        </w:tc>
        <w:tc>
          <w:tcPr>
            <w:tcW w:w="2131" w:type="dxa"/>
            <w:vAlign w:val="center"/>
          </w:tcPr>
          <w:p>
            <w:pPr>
              <w:spacing w:line="500" w:lineRule="exact"/>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Align w:val="center"/>
          </w:tcPr>
          <w:p>
            <w:pPr>
              <w:spacing w:line="50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      公务用车购置费</w:t>
            </w:r>
          </w:p>
        </w:tc>
        <w:tc>
          <w:tcPr>
            <w:tcW w:w="1560" w:type="dxa"/>
            <w:vAlign w:val="center"/>
          </w:tcPr>
          <w:p>
            <w:pPr>
              <w:spacing w:line="500" w:lineRule="exac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455" w:type="dxa"/>
            <w:vAlign w:val="center"/>
          </w:tcPr>
          <w:p>
            <w:pPr>
              <w:spacing w:line="500" w:lineRule="exact"/>
              <w:rPr>
                <w:rFonts w:ascii="Times New Roman" w:hAnsi="Times New Roman"/>
                <w:color w:val="000000" w:themeColor="text1"/>
                <w:szCs w:val="21"/>
                <w14:textFill>
                  <w14:solidFill>
                    <w14:schemeClr w14:val="tx1"/>
                  </w14:solidFill>
                </w14:textFill>
              </w:rPr>
            </w:pPr>
          </w:p>
        </w:tc>
        <w:tc>
          <w:tcPr>
            <w:tcW w:w="2131" w:type="dxa"/>
            <w:vAlign w:val="center"/>
          </w:tcPr>
          <w:p>
            <w:pPr>
              <w:spacing w:line="500" w:lineRule="exact"/>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76" w:type="dxa"/>
            <w:vAlign w:val="center"/>
          </w:tcPr>
          <w:p>
            <w:pPr>
              <w:spacing w:line="500" w:lineRule="exact"/>
              <w:jc w:val="center"/>
              <w:rPr>
                <w:rFonts w:ascii="Times New Roman" w:hAnsi="Times New Roman"/>
                <w:b/>
                <w:color w:val="000000" w:themeColor="text1"/>
                <w:szCs w:val="21"/>
                <w14:textFill>
                  <w14:solidFill>
                    <w14:schemeClr w14:val="tx1"/>
                  </w14:solidFill>
                </w14:textFill>
              </w:rPr>
            </w:pPr>
            <w:r>
              <w:rPr>
                <w:rFonts w:ascii="Times New Roman" w:hAnsi="Times New Roman"/>
                <w:b/>
                <w:color w:val="000000" w:themeColor="text1"/>
                <w:szCs w:val="21"/>
                <w14:textFill>
                  <w14:solidFill>
                    <w14:schemeClr w14:val="tx1"/>
                  </w14:solidFill>
                </w14:textFill>
              </w:rPr>
              <w:t>总  计</w:t>
            </w:r>
          </w:p>
        </w:tc>
        <w:tc>
          <w:tcPr>
            <w:tcW w:w="1560" w:type="dxa"/>
            <w:vAlign w:val="center"/>
          </w:tcPr>
          <w:p>
            <w:pPr>
              <w:spacing w:line="50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13.50</w:t>
            </w:r>
          </w:p>
        </w:tc>
        <w:tc>
          <w:tcPr>
            <w:tcW w:w="2455" w:type="dxa"/>
            <w:vAlign w:val="center"/>
          </w:tcPr>
          <w:p>
            <w:pPr>
              <w:spacing w:line="500" w:lineRule="exact"/>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13.50</w:t>
            </w:r>
          </w:p>
        </w:tc>
        <w:tc>
          <w:tcPr>
            <w:tcW w:w="2131" w:type="dxa"/>
            <w:vAlign w:val="center"/>
          </w:tcPr>
          <w:p>
            <w:pPr>
              <w:spacing w:line="500" w:lineRule="exact"/>
              <w:rPr>
                <w:rFonts w:ascii="Times New Roman" w:hAnsi="Times New Roman"/>
                <w:color w:val="000000" w:themeColor="text1"/>
                <w:szCs w:val="21"/>
                <w14:textFill>
                  <w14:solidFill>
                    <w14:schemeClr w14:val="tx1"/>
                  </w14:solidFill>
                </w14:textFill>
              </w:rPr>
            </w:pPr>
          </w:p>
        </w:tc>
      </w:tr>
    </w:tbl>
    <w:p>
      <w:pPr>
        <w:spacing w:line="60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w:t>
      </w:r>
      <w:r>
        <w:rPr>
          <w:rFonts w:hint="eastAsia" w:ascii="Times New Roman" w:hAnsi="Times New Roman" w:eastAsia="黑体"/>
          <w:color w:val="000000" w:themeColor="text1"/>
          <w:sz w:val="32"/>
          <w:szCs w:val="32"/>
          <w14:textFill>
            <w14:solidFill>
              <w14:schemeClr w14:val="tx1"/>
            </w14:solidFill>
          </w14:textFill>
        </w:rPr>
        <w:t>2023年</w:t>
      </w:r>
      <w:r>
        <w:rPr>
          <w:rFonts w:ascii="Times New Roman" w:hAnsi="Times New Roman" w:eastAsia="黑体"/>
          <w:color w:val="000000" w:themeColor="text1"/>
          <w:sz w:val="32"/>
          <w:szCs w:val="32"/>
          <w14:textFill>
            <w14:solidFill>
              <w14:schemeClr w14:val="tx1"/>
            </w14:solidFill>
          </w14:textFill>
        </w:rPr>
        <w:t>“三公”经费支出预算情况说明</w:t>
      </w:r>
    </w:p>
    <w:p>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2023年</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none"/>
          <w14:textFill>
            <w14:solidFill>
              <w14:schemeClr w14:val="tx1"/>
            </w14:solidFill>
          </w14:textFill>
        </w:rPr>
        <w:t>巢湖市</w:t>
      </w:r>
      <w:r>
        <w:rPr>
          <w:rFonts w:hint="eastAsia" w:ascii="Times New Roman" w:hAnsi="Times New Roman" w:eastAsia="仿宋_GB2312"/>
          <w:color w:val="000000" w:themeColor="text1"/>
          <w:sz w:val="32"/>
          <w:szCs w:val="32"/>
          <w:u w:val="none"/>
          <w:lang w:val="en-US" w:eastAsia="zh-CN"/>
          <w14:textFill>
            <w14:solidFill>
              <w14:schemeClr w14:val="tx1"/>
            </w14:solidFill>
          </w14:textFill>
        </w:rPr>
        <w:t>人大办</w:t>
      </w:r>
      <w:r>
        <w:rPr>
          <w:rFonts w:ascii="Times New Roman" w:hAnsi="Times New Roman" w:eastAsia="仿宋_GB2312"/>
          <w:color w:val="000000" w:themeColor="text1"/>
          <w:sz w:val="32"/>
          <w:szCs w:val="32"/>
          <w14:textFill>
            <w14:solidFill>
              <w14:schemeClr w14:val="tx1"/>
            </w14:solidFill>
          </w14:textFill>
        </w:rPr>
        <w:t>机关本级和局属单位</w:t>
      </w:r>
      <w:r>
        <w:rPr>
          <w:rFonts w:hint="eastAsia" w:ascii="Times New Roman" w:hAnsi="Times New Roman" w:eastAsia="仿宋_GB2312"/>
          <w:color w:val="000000" w:themeColor="text1"/>
          <w:sz w:val="32"/>
          <w:szCs w:val="32"/>
          <w14:textFill>
            <w14:solidFill>
              <w14:schemeClr w14:val="tx1"/>
            </w14:solidFill>
          </w14:textFill>
        </w:rPr>
        <w:t>一般公共预算及政府性基金财政拨款</w:t>
      </w:r>
      <w:r>
        <w:rPr>
          <w:rFonts w:ascii="Times New Roman" w:hAnsi="Times New Roman" w:eastAsia="仿宋_GB2312"/>
          <w:color w:val="000000" w:themeColor="text1"/>
          <w:sz w:val="32"/>
          <w:szCs w:val="32"/>
          <w14:textFill>
            <w14:solidFill>
              <w14:schemeClr w14:val="tx1"/>
            </w14:solidFill>
          </w14:textFill>
        </w:rPr>
        <w:t>“三公”经费支出预算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13.50</w:t>
      </w:r>
      <w:r>
        <w:rPr>
          <w:rFonts w:ascii="Times New Roman" w:hAnsi="Times New Roman" w:eastAsia="仿宋_GB2312"/>
          <w:color w:val="000000" w:themeColor="text1"/>
          <w:sz w:val="32"/>
          <w:szCs w:val="32"/>
          <w14:textFill>
            <w14:solidFill>
              <w14:schemeClr w14:val="tx1"/>
            </w14:solidFill>
          </w14:textFill>
        </w:rPr>
        <w:t>万元， 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相比持平。其中因公出国（境）费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万元，公务接待费</w:t>
      </w:r>
      <w:r>
        <w:rPr>
          <w:rFonts w:hint="eastAsia" w:ascii="Times New Roman" w:hAnsi="Times New Roman" w:eastAsia="仿宋_GB2312"/>
          <w:color w:val="000000" w:themeColor="text1"/>
          <w:sz w:val="32"/>
          <w:szCs w:val="32"/>
          <w:lang w:val="en-US" w:eastAsia="zh-CN"/>
          <w14:textFill>
            <w14:solidFill>
              <w14:schemeClr w14:val="tx1"/>
            </w14:solidFill>
          </w14:textFill>
        </w:rPr>
        <w:t>3.00</w:t>
      </w:r>
      <w:r>
        <w:rPr>
          <w:rFonts w:ascii="Times New Roman" w:hAnsi="Times New Roman" w:eastAsia="仿宋_GB2312"/>
          <w:color w:val="000000" w:themeColor="text1"/>
          <w:sz w:val="32"/>
          <w:szCs w:val="32"/>
          <w14:textFill>
            <w14:solidFill>
              <w14:schemeClr w14:val="tx1"/>
            </w14:solidFill>
          </w14:textFill>
        </w:rPr>
        <w:t>万元，公务用车购置及运行费</w:t>
      </w:r>
      <w:r>
        <w:rPr>
          <w:rFonts w:hint="eastAsia" w:ascii="Times New Roman" w:hAnsi="Times New Roman" w:eastAsia="仿宋_GB2312"/>
          <w:color w:val="000000" w:themeColor="text1"/>
          <w:sz w:val="32"/>
          <w:szCs w:val="32"/>
          <w:lang w:val="en-US" w:eastAsia="zh-CN"/>
          <w14:textFill>
            <w14:solidFill>
              <w14:schemeClr w14:val="tx1"/>
            </w14:solidFill>
          </w14:textFill>
        </w:rPr>
        <w:t>10.50</w:t>
      </w:r>
      <w:r>
        <w:rPr>
          <w:rFonts w:ascii="Times New Roman" w:hAnsi="Times New Roman" w:eastAsia="仿宋_GB2312"/>
          <w:color w:val="000000" w:themeColor="text1"/>
          <w:sz w:val="32"/>
          <w:szCs w:val="32"/>
          <w14:textFill>
            <w14:solidFill>
              <w14:schemeClr w14:val="tx1"/>
            </w14:solidFill>
          </w14:textFill>
        </w:rPr>
        <w:t>万元。具体情况如下：</w:t>
      </w:r>
    </w:p>
    <w:p>
      <w:pPr>
        <w:numPr>
          <w:ilvl w:val="0"/>
          <w:numId w:val="1"/>
        </w:numPr>
        <w:spacing w:line="600" w:lineRule="exact"/>
        <w:ind w:firstLine="643"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因公出国（境）费。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相比持平，主要原因是主要原因是未安排因公出国（境）费用。经费使用严格执行</w:t>
      </w:r>
      <w:r>
        <w:rPr>
          <w:rFonts w:hint="eastAsia" w:ascii="仿宋_GB2312" w:eastAsia="仿宋_GB2312"/>
          <w:sz w:val="32"/>
          <w:szCs w:val="32"/>
        </w:rPr>
        <w:t>《关于转发&lt;安徽省省直党政机关因公临时出国经费管理办法&gt;的通知》（巢财行〔2014〕64号）</w:t>
      </w:r>
      <w:r>
        <w:rPr>
          <w:rFonts w:ascii="Times New Roman" w:hAnsi="Times New Roman" w:eastAsia="仿宋_GB2312"/>
          <w:color w:val="000000" w:themeColor="text1"/>
          <w:sz w:val="32"/>
          <w:szCs w:val="32"/>
          <w14:textFill>
            <w14:solidFill>
              <w14:schemeClr w14:val="tx1"/>
            </w14:solidFill>
          </w14:textFill>
        </w:rPr>
        <w:t>等相关规定</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 xml:space="preserve"> 主要用于单位出国（境）的国际旅费、国外城市间交通费等支出</w:t>
      </w:r>
      <w:r>
        <w:rPr>
          <w:rFonts w:hint="eastAsia" w:ascii="Times New Roman" w:hAnsi="Times New Roman" w:eastAsia="仿宋_GB2312"/>
          <w:color w:val="000000" w:themeColor="text1"/>
          <w:sz w:val="32"/>
          <w:szCs w:val="32"/>
          <w14:textFill>
            <w14:solidFill>
              <w14:schemeClr w14:val="tx1"/>
            </w14:solidFill>
          </w14:textFill>
        </w:rPr>
        <w:t>。</w:t>
      </w:r>
    </w:p>
    <w:p>
      <w:pPr>
        <w:spacing w:line="560" w:lineRule="exact"/>
        <w:ind w:firstLine="643"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（二）公务接待费。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3.00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相比持平，主要原因是参照上年公务接待费支出情况安排本年预算。经费使用严格执行《党政机关厉行节约反对浪费条例》、</w:t>
      </w:r>
      <w:r>
        <w:rPr>
          <w:rFonts w:hint="eastAsia" w:ascii="仿宋_GB2312" w:eastAsia="仿宋_GB2312"/>
          <w:sz w:val="32"/>
          <w:szCs w:val="32"/>
        </w:rPr>
        <w:t>《关于印发&lt;巢湖市市直单位公务接待经费管理暂行办法&gt;的通知》（巢财行〔2014〕90号）等相关规定,主要用于经审批的接待活动支出。</w:t>
      </w:r>
    </w:p>
    <w:p>
      <w:pPr>
        <w:pStyle w:val="5"/>
        <w:widowControl w:val="0"/>
        <w:adjustRightInd w:val="0"/>
        <w:snapToGrid w:val="0"/>
        <w:spacing w:before="0" w:beforeAutospacing="0" w:after="0" w:afterAutospacing="0" w:line="560" w:lineRule="exact"/>
        <w:ind w:firstLine="643" w:firstLineChars="200"/>
        <w:jc w:val="both"/>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（三）公务用车购置及运行费。</w:t>
      </w:r>
      <w:r>
        <w:rPr>
          <w:rFonts w:ascii="Times New Roman" w:hAnsi="Times New Roman" w:eastAsia="仿宋_GB2312"/>
          <w:color w:val="000000" w:themeColor="text1"/>
          <w:sz w:val="32"/>
          <w:szCs w:val="32"/>
          <w14:textFill>
            <w14:solidFill>
              <w14:schemeClr w14:val="tx1"/>
            </w14:solidFill>
          </w14:textFill>
        </w:rPr>
        <w:t>支出预算</w:t>
      </w:r>
      <w:r>
        <w:rPr>
          <w:rFonts w:hint="eastAsia" w:ascii="Times New Roman" w:hAnsi="Times New Roman" w:eastAsia="仿宋_GB2312"/>
          <w:color w:val="000000" w:themeColor="text1"/>
          <w:sz w:val="32"/>
          <w:szCs w:val="32"/>
          <w:lang w:val="en-US" w:eastAsia="zh-CN"/>
          <w14:textFill>
            <w14:solidFill>
              <w14:schemeClr w14:val="tx1"/>
            </w14:solidFill>
          </w14:textFill>
        </w:rPr>
        <w:t>10.50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其中：公务用车运行费</w:t>
      </w:r>
      <w:r>
        <w:rPr>
          <w:rFonts w:hint="eastAsia" w:ascii="Times New Roman" w:hAnsi="Times New Roman" w:eastAsia="仿宋_GB2312"/>
          <w:color w:val="000000" w:themeColor="text1"/>
          <w:sz w:val="32"/>
          <w:szCs w:val="32"/>
          <w:lang w:val="en-US" w:eastAsia="zh-CN"/>
          <w14:textFill>
            <w14:solidFill>
              <w14:schemeClr w14:val="tx1"/>
            </w14:solidFill>
          </w14:textFill>
        </w:rPr>
        <w:t>10.50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相比持平，主要原因是严格按照预算编制要求，根据保留车辆数合理安排</w:t>
      </w:r>
      <w:r>
        <w:rPr>
          <w:rFonts w:hint="default"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主要用于车辆燃料费、维修费、过路过桥费、保险费等支出</w:t>
      </w:r>
      <w:r>
        <w:rPr>
          <w:rFonts w:ascii="Times New Roman" w:hAnsi="Times New Roman" w:eastAsia="仿宋_GB2312"/>
          <w:color w:val="000000" w:themeColor="text1"/>
          <w:sz w:val="32"/>
          <w:szCs w:val="32"/>
          <w14:textFill>
            <w14:solidFill>
              <w14:schemeClr w14:val="tx1"/>
            </w14:solidFill>
          </w14:textFill>
        </w:rPr>
        <w:t>。公务用车购置费</w:t>
      </w:r>
      <w:r>
        <w:rPr>
          <w:rFonts w:hint="eastAsia" w:ascii="Times New Roman" w:hAnsi="Times New Roman" w:eastAsia="仿宋_GB2312"/>
          <w:color w:val="000000" w:themeColor="text1"/>
          <w:sz w:val="32"/>
          <w:szCs w:val="32"/>
          <w:lang w:val="en-US" w:eastAsia="zh-CN"/>
          <w14:textFill>
            <w14:solidFill>
              <w14:schemeClr w14:val="tx1"/>
            </w14:solidFill>
          </w14:textFill>
        </w:rPr>
        <w:t>0.00</w:t>
      </w:r>
      <w:r>
        <w:rPr>
          <w:rFonts w:ascii="Times New Roman" w:hAnsi="Times New Roman" w:eastAsia="仿宋_GB2312"/>
          <w:color w:val="000000" w:themeColor="text1"/>
          <w:sz w:val="32"/>
          <w:szCs w:val="32"/>
          <w14:textFill>
            <w14:solidFill>
              <w14:schemeClr w14:val="tx1"/>
            </w14:solidFill>
          </w14:textFill>
        </w:rPr>
        <w:t>万元，与</w:t>
      </w:r>
      <w:r>
        <w:rPr>
          <w:rFonts w:hint="eastAsia" w:ascii="Times New Roman" w:hAnsi="Times New Roman" w:eastAsia="仿宋_GB2312"/>
          <w:color w:val="000000" w:themeColor="text1"/>
          <w:sz w:val="32"/>
          <w:szCs w:val="32"/>
          <w14:textFill>
            <w14:solidFill>
              <w14:schemeClr w14:val="tx1"/>
            </w14:solidFill>
          </w14:textFill>
        </w:rPr>
        <w:t>2022年</w:t>
      </w:r>
      <w:r>
        <w:rPr>
          <w:rFonts w:ascii="Times New Roman" w:hAnsi="Times New Roman" w:eastAsia="仿宋_GB2312"/>
          <w:color w:val="000000" w:themeColor="text1"/>
          <w:sz w:val="32"/>
          <w:szCs w:val="32"/>
          <w14:textFill>
            <w14:solidFill>
              <w14:schemeClr w14:val="tx1"/>
            </w14:solidFill>
          </w14:textFill>
        </w:rPr>
        <w:t>相比持平，主要原因是</w:t>
      </w:r>
      <w:r>
        <w:rPr>
          <w:rFonts w:hint="default" w:ascii="Times New Roman" w:hAnsi="Times New Roman" w:eastAsia="宋体" w:cs="Times New Roman"/>
          <w:i w:val="0"/>
          <w:iCs w:val="0"/>
          <w:caps w:val="0"/>
          <w:color w:val="000000"/>
          <w:spacing w:val="0"/>
          <w:sz w:val="32"/>
          <w:szCs w:val="32"/>
          <w:shd w:val="clear" w:fill="FFFFFF"/>
        </w:rPr>
        <w:t>202</w:t>
      </w:r>
      <w:r>
        <w:rPr>
          <w:rFonts w:hint="eastAsia" w:ascii="Times New Roman" w:hAnsi="Times New Roman" w:cs="Times New Roman"/>
          <w:i w:val="0"/>
          <w:iCs w:val="0"/>
          <w:caps w:val="0"/>
          <w:color w:val="000000"/>
          <w:spacing w:val="0"/>
          <w:sz w:val="32"/>
          <w:szCs w:val="32"/>
          <w:shd w:val="clear" w:fill="FFFFFF"/>
          <w:lang w:val="en-US" w:eastAsia="zh-CN"/>
        </w:rPr>
        <w:t>2</w:t>
      </w:r>
      <w:r>
        <w:rPr>
          <w:rFonts w:ascii="仿宋" w:hAnsi="仿宋" w:eastAsia="仿宋" w:cs="仿宋"/>
          <w:i w:val="0"/>
          <w:iCs w:val="0"/>
          <w:caps w:val="0"/>
          <w:color w:val="000000"/>
          <w:spacing w:val="0"/>
          <w:sz w:val="32"/>
          <w:szCs w:val="32"/>
          <w:shd w:val="clear" w:fill="FFFFFF"/>
        </w:rPr>
        <w:t>、</w:t>
      </w:r>
      <w:r>
        <w:rPr>
          <w:rFonts w:hint="default" w:ascii="Times New Roman" w:hAnsi="Times New Roman" w:eastAsia="宋体" w:cs="Times New Roman"/>
          <w:i w:val="0"/>
          <w:iCs w:val="0"/>
          <w:caps w:val="0"/>
          <w:color w:val="000000"/>
          <w:spacing w:val="0"/>
          <w:sz w:val="32"/>
          <w:szCs w:val="32"/>
          <w:shd w:val="clear" w:fill="FFFFFF"/>
        </w:rPr>
        <w:t>202</w:t>
      </w:r>
      <w:r>
        <w:rPr>
          <w:rFonts w:hint="eastAsia" w:ascii="Times New Roman" w:hAnsi="Times New Roman" w:cs="Times New Roman"/>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年均未安排公务用车购置费用。</w:t>
      </w:r>
      <w:r>
        <w:rPr>
          <w:rFonts w:ascii="Times New Roman" w:hAnsi="Times New Roman" w:eastAsia="仿宋_GB2312"/>
          <w:color w:val="000000" w:themeColor="text1"/>
          <w:sz w:val="32"/>
          <w:szCs w:val="32"/>
          <w14:textFill>
            <w14:solidFill>
              <w14:schemeClr w14:val="tx1"/>
            </w14:solidFill>
          </w14:textFill>
        </w:rPr>
        <w:t>用于购置</w:t>
      </w:r>
      <w:r>
        <w:rPr>
          <w:rFonts w:hint="eastAsia" w:ascii="Times New Roman" w:hAnsi="Times New Roman" w:eastAsia="仿宋_GB2312"/>
          <w:color w:val="000000" w:themeColor="text1"/>
          <w:sz w:val="32"/>
          <w:szCs w:val="32"/>
          <w14:textFill>
            <w14:solidFill>
              <w14:schemeClr w14:val="tx1"/>
            </w14:solidFill>
          </w14:textFill>
        </w:rPr>
        <w:t>机要通信用车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辆、应急保障用车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辆、其他按照规定配备的公务用车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辆、执法执勤用车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辆、特种专业技术用车</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辆。</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5497976"/>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17 -</w:t>
        </w:r>
        <w:r>
          <w:rPr>
            <w:rFonts w:asciiTheme="minorEastAsia" w:hAnsiTheme="minorEastAsia" w:eastAsia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319664"/>
    </w:sdtPr>
    <w:sdtContent>
      <w:p>
        <w:pPr>
          <w:pStyle w:val="3"/>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16 -</w:t>
        </w:r>
        <w:r>
          <w:rPr>
            <w:rFonts w:asciiTheme="minorEastAsia" w:hAnsiTheme="minorEastAsia" w:eastAsiaTheme="minorEastAsia"/>
            <w:sz w:val="28"/>
            <w:szCs w:val="28"/>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743853"/>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73C83"/>
    <w:multiLevelType w:val="singleLevel"/>
    <w:tmpl w:val="DC573C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YjhjMjdjOWRjMmE1ZjNjYjg1MGZmYjMwNjgwMmYifQ=="/>
    <w:docVar w:name="KSO_WPS_MARK_KEY" w:val="e1e6fa19-766e-4a8d-a905-363a5d8ff991"/>
  </w:docVars>
  <w:rsids>
    <w:rsidRoot w:val="00830C4C"/>
    <w:rsid w:val="00000551"/>
    <w:rsid w:val="00001B94"/>
    <w:rsid w:val="0000535D"/>
    <w:rsid w:val="00007343"/>
    <w:rsid w:val="00010179"/>
    <w:rsid w:val="00011AD2"/>
    <w:rsid w:val="00021FA6"/>
    <w:rsid w:val="000236AD"/>
    <w:rsid w:val="0002492E"/>
    <w:rsid w:val="00025077"/>
    <w:rsid w:val="000275B2"/>
    <w:rsid w:val="00027CCA"/>
    <w:rsid w:val="00030CBF"/>
    <w:rsid w:val="000336CA"/>
    <w:rsid w:val="00037A70"/>
    <w:rsid w:val="000417D9"/>
    <w:rsid w:val="00043BC6"/>
    <w:rsid w:val="00044146"/>
    <w:rsid w:val="00044173"/>
    <w:rsid w:val="000442BB"/>
    <w:rsid w:val="0004465A"/>
    <w:rsid w:val="0005187A"/>
    <w:rsid w:val="000519FA"/>
    <w:rsid w:val="0005484A"/>
    <w:rsid w:val="00056291"/>
    <w:rsid w:val="00061583"/>
    <w:rsid w:val="0006321A"/>
    <w:rsid w:val="00063F13"/>
    <w:rsid w:val="0006492F"/>
    <w:rsid w:val="00065B2F"/>
    <w:rsid w:val="00067122"/>
    <w:rsid w:val="00072ACA"/>
    <w:rsid w:val="00073750"/>
    <w:rsid w:val="00073872"/>
    <w:rsid w:val="00074140"/>
    <w:rsid w:val="00076587"/>
    <w:rsid w:val="00076A5B"/>
    <w:rsid w:val="00080D7C"/>
    <w:rsid w:val="00081FDA"/>
    <w:rsid w:val="00082CF3"/>
    <w:rsid w:val="00084A86"/>
    <w:rsid w:val="00085FBE"/>
    <w:rsid w:val="000874BC"/>
    <w:rsid w:val="00087697"/>
    <w:rsid w:val="00090371"/>
    <w:rsid w:val="0009079C"/>
    <w:rsid w:val="000917D4"/>
    <w:rsid w:val="000922B4"/>
    <w:rsid w:val="000923D0"/>
    <w:rsid w:val="000925A3"/>
    <w:rsid w:val="00092ACA"/>
    <w:rsid w:val="000952A0"/>
    <w:rsid w:val="00095CD5"/>
    <w:rsid w:val="00097E9C"/>
    <w:rsid w:val="000A140F"/>
    <w:rsid w:val="000A376D"/>
    <w:rsid w:val="000A3A07"/>
    <w:rsid w:val="000A5401"/>
    <w:rsid w:val="000A69A4"/>
    <w:rsid w:val="000A78A4"/>
    <w:rsid w:val="000B1CEF"/>
    <w:rsid w:val="000B1F1B"/>
    <w:rsid w:val="000B310D"/>
    <w:rsid w:val="000B3B4D"/>
    <w:rsid w:val="000B57CE"/>
    <w:rsid w:val="000B75CC"/>
    <w:rsid w:val="000B7CEB"/>
    <w:rsid w:val="000B7EA7"/>
    <w:rsid w:val="000C0866"/>
    <w:rsid w:val="000C2B2C"/>
    <w:rsid w:val="000C2B3D"/>
    <w:rsid w:val="000C313C"/>
    <w:rsid w:val="000C3D33"/>
    <w:rsid w:val="000C3FE1"/>
    <w:rsid w:val="000C5319"/>
    <w:rsid w:val="000C60D4"/>
    <w:rsid w:val="000D0AD5"/>
    <w:rsid w:val="000D12E9"/>
    <w:rsid w:val="000D17B5"/>
    <w:rsid w:val="000D213E"/>
    <w:rsid w:val="000D2E66"/>
    <w:rsid w:val="000D3B7D"/>
    <w:rsid w:val="000D3C09"/>
    <w:rsid w:val="000D4289"/>
    <w:rsid w:val="000D509C"/>
    <w:rsid w:val="000D5766"/>
    <w:rsid w:val="000E05E9"/>
    <w:rsid w:val="000E203A"/>
    <w:rsid w:val="000E2A17"/>
    <w:rsid w:val="000E592F"/>
    <w:rsid w:val="000F0A8D"/>
    <w:rsid w:val="000F3AE4"/>
    <w:rsid w:val="000F3C4D"/>
    <w:rsid w:val="000F3DB3"/>
    <w:rsid w:val="000F41B6"/>
    <w:rsid w:val="000F71EA"/>
    <w:rsid w:val="00102140"/>
    <w:rsid w:val="00102422"/>
    <w:rsid w:val="00102AFA"/>
    <w:rsid w:val="001042A3"/>
    <w:rsid w:val="00104A57"/>
    <w:rsid w:val="00104DB6"/>
    <w:rsid w:val="00105BE8"/>
    <w:rsid w:val="001112F4"/>
    <w:rsid w:val="00112879"/>
    <w:rsid w:val="00112D89"/>
    <w:rsid w:val="001137AF"/>
    <w:rsid w:val="00114D2C"/>
    <w:rsid w:val="001155D8"/>
    <w:rsid w:val="001221E4"/>
    <w:rsid w:val="001223FF"/>
    <w:rsid w:val="00123B1C"/>
    <w:rsid w:val="001243BE"/>
    <w:rsid w:val="0012493D"/>
    <w:rsid w:val="00125468"/>
    <w:rsid w:val="00125B29"/>
    <w:rsid w:val="00126856"/>
    <w:rsid w:val="00130CD7"/>
    <w:rsid w:val="00131805"/>
    <w:rsid w:val="00132BF1"/>
    <w:rsid w:val="0013429F"/>
    <w:rsid w:val="00134B96"/>
    <w:rsid w:val="00137B00"/>
    <w:rsid w:val="00140C87"/>
    <w:rsid w:val="00142525"/>
    <w:rsid w:val="001427FD"/>
    <w:rsid w:val="001438F4"/>
    <w:rsid w:val="001458DF"/>
    <w:rsid w:val="00146D59"/>
    <w:rsid w:val="00147167"/>
    <w:rsid w:val="00147911"/>
    <w:rsid w:val="00147E08"/>
    <w:rsid w:val="00147FA4"/>
    <w:rsid w:val="00151AF6"/>
    <w:rsid w:val="00151B71"/>
    <w:rsid w:val="00153E3F"/>
    <w:rsid w:val="00154CC3"/>
    <w:rsid w:val="00155D64"/>
    <w:rsid w:val="001619E7"/>
    <w:rsid w:val="00162A76"/>
    <w:rsid w:val="0016317C"/>
    <w:rsid w:val="001641B7"/>
    <w:rsid w:val="00166712"/>
    <w:rsid w:val="001667A9"/>
    <w:rsid w:val="0016765C"/>
    <w:rsid w:val="00170F5B"/>
    <w:rsid w:val="00172BC7"/>
    <w:rsid w:val="00173E8A"/>
    <w:rsid w:val="00176168"/>
    <w:rsid w:val="00176875"/>
    <w:rsid w:val="00176EAA"/>
    <w:rsid w:val="00182678"/>
    <w:rsid w:val="001861FC"/>
    <w:rsid w:val="00190DDC"/>
    <w:rsid w:val="00191232"/>
    <w:rsid w:val="001919D8"/>
    <w:rsid w:val="00192CBE"/>
    <w:rsid w:val="00192E0D"/>
    <w:rsid w:val="00194ED1"/>
    <w:rsid w:val="001969CA"/>
    <w:rsid w:val="00197A0A"/>
    <w:rsid w:val="001A0300"/>
    <w:rsid w:val="001A069F"/>
    <w:rsid w:val="001A3E28"/>
    <w:rsid w:val="001A4329"/>
    <w:rsid w:val="001A5951"/>
    <w:rsid w:val="001A692F"/>
    <w:rsid w:val="001B12FC"/>
    <w:rsid w:val="001B173D"/>
    <w:rsid w:val="001B3112"/>
    <w:rsid w:val="001B353B"/>
    <w:rsid w:val="001B4580"/>
    <w:rsid w:val="001B4746"/>
    <w:rsid w:val="001B6666"/>
    <w:rsid w:val="001B6B73"/>
    <w:rsid w:val="001B7723"/>
    <w:rsid w:val="001C0C12"/>
    <w:rsid w:val="001C0CF1"/>
    <w:rsid w:val="001C0F06"/>
    <w:rsid w:val="001C3063"/>
    <w:rsid w:val="001C35B2"/>
    <w:rsid w:val="001C43C8"/>
    <w:rsid w:val="001C5A4A"/>
    <w:rsid w:val="001C679D"/>
    <w:rsid w:val="001C73A2"/>
    <w:rsid w:val="001D15D8"/>
    <w:rsid w:val="001D1989"/>
    <w:rsid w:val="001D3F6F"/>
    <w:rsid w:val="001D4AFE"/>
    <w:rsid w:val="001D515D"/>
    <w:rsid w:val="001D52C0"/>
    <w:rsid w:val="001D646F"/>
    <w:rsid w:val="001D7568"/>
    <w:rsid w:val="001D7EFB"/>
    <w:rsid w:val="001E152F"/>
    <w:rsid w:val="001E74D0"/>
    <w:rsid w:val="001E7983"/>
    <w:rsid w:val="001F0E03"/>
    <w:rsid w:val="001F21F2"/>
    <w:rsid w:val="001F4DE2"/>
    <w:rsid w:val="001F54D3"/>
    <w:rsid w:val="001F7A88"/>
    <w:rsid w:val="001F7C48"/>
    <w:rsid w:val="0020004C"/>
    <w:rsid w:val="00201187"/>
    <w:rsid w:val="00203884"/>
    <w:rsid w:val="002056C3"/>
    <w:rsid w:val="00206F1B"/>
    <w:rsid w:val="00207714"/>
    <w:rsid w:val="002113D3"/>
    <w:rsid w:val="00212F3D"/>
    <w:rsid w:val="0021417F"/>
    <w:rsid w:val="00214208"/>
    <w:rsid w:val="002153CB"/>
    <w:rsid w:val="00216994"/>
    <w:rsid w:val="00216B63"/>
    <w:rsid w:val="002201D8"/>
    <w:rsid w:val="00220D3F"/>
    <w:rsid w:val="00220E02"/>
    <w:rsid w:val="002219D1"/>
    <w:rsid w:val="00223791"/>
    <w:rsid w:val="00224107"/>
    <w:rsid w:val="00226CB9"/>
    <w:rsid w:val="002311D6"/>
    <w:rsid w:val="0023652F"/>
    <w:rsid w:val="00242688"/>
    <w:rsid w:val="00242C43"/>
    <w:rsid w:val="00242DF2"/>
    <w:rsid w:val="002430DA"/>
    <w:rsid w:val="00243E90"/>
    <w:rsid w:val="00245535"/>
    <w:rsid w:val="0024617D"/>
    <w:rsid w:val="0024619D"/>
    <w:rsid w:val="00246EBE"/>
    <w:rsid w:val="00247F3D"/>
    <w:rsid w:val="00250317"/>
    <w:rsid w:val="00251133"/>
    <w:rsid w:val="00251E0F"/>
    <w:rsid w:val="00251FC8"/>
    <w:rsid w:val="002520A9"/>
    <w:rsid w:val="0025270F"/>
    <w:rsid w:val="00252BED"/>
    <w:rsid w:val="00253508"/>
    <w:rsid w:val="00253522"/>
    <w:rsid w:val="00254ECC"/>
    <w:rsid w:val="002573A0"/>
    <w:rsid w:val="0026178F"/>
    <w:rsid w:val="0026313D"/>
    <w:rsid w:val="00263939"/>
    <w:rsid w:val="00263F02"/>
    <w:rsid w:val="00265972"/>
    <w:rsid w:val="00267A3D"/>
    <w:rsid w:val="00267FE0"/>
    <w:rsid w:val="002705D9"/>
    <w:rsid w:val="0027484D"/>
    <w:rsid w:val="00274CA5"/>
    <w:rsid w:val="00275BEF"/>
    <w:rsid w:val="00275D48"/>
    <w:rsid w:val="00276556"/>
    <w:rsid w:val="002777A2"/>
    <w:rsid w:val="00281FC9"/>
    <w:rsid w:val="002822EB"/>
    <w:rsid w:val="0028258A"/>
    <w:rsid w:val="00282C62"/>
    <w:rsid w:val="00284080"/>
    <w:rsid w:val="00285047"/>
    <w:rsid w:val="00286406"/>
    <w:rsid w:val="00286797"/>
    <w:rsid w:val="002879D7"/>
    <w:rsid w:val="00290C58"/>
    <w:rsid w:val="00291C01"/>
    <w:rsid w:val="00291D54"/>
    <w:rsid w:val="00293670"/>
    <w:rsid w:val="002952C6"/>
    <w:rsid w:val="00295FDA"/>
    <w:rsid w:val="002978C5"/>
    <w:rsid w:val="002A02BB"/>
    <w:rsid w:val="002A4301"/>
    <w:rsid w:val="002A44CF"/>
    <w:rsid w:val="002A4AFD"/>
    <w:rsid w:val="002A6015"/>
    <w:rsid w:val="002A66EB"/>
    <w:rsid w:val="002B2337"/>
    <w:rsid w:val="002B3929"/>
    <w:rsid w:val="002B462F"/>
    <w:rsid w:val="002B4F1A"/>
    <w:rsid w:val="002B6B7E"/>
    <w:rsid w:val="002C0026"/>
    <w:rsid w:val="002C06F9"/>
    <w:rsid w:val="002C14E7"/>
    <w:rsid w:val="002C2437"/>
    <w:rsid w:val="002C420B"/>
    <w:rsid w:val="002C4A23"/>
    <w:rsid w:val="002C6A15"/>
    <w:rsid w:val="002D6745"/>
    <w:rsid w:val="002D760E"/>
    <w:rsid w:val="002E0017"/>
    <w:rsid w:val="002E0689"/>
    <w:rsid w:val="002E1BBA"/>
    <w:rsid w:val="002E3166"/>
    <w:rsid w:val="002E5835"/>
    <w:rsid w:val="002E5848"/>
    <w:rsid w:val="002E5E4E"/>
    <w:rsid w:val="002E6ADF"/>
    <w:rsid w:val="002E753C"/>
    <w:rsid w:val="002F06B6"/>
    <w:rsid w:val="002F1174"/>
    <w:rsid w:val="002F2A60"/>
    <w:rsid w:val="002F6324"/>
    <w:rsid w:val="00303B16"/>
    <w:rsid w:val="00304CA1"/>
    <w:rsid w:val="00305473"/>
    <w:rsid w:val="00305977"/>
    <w:rsid w:val="00306232"/>
    <w:rsid w:val="00306881"/>
    <w:rsid w:val="00307FB8"/>
    <w:rsid w:val="00311FE9"/>
    <w:rsid w:val="00312633"/>
    <w:rsid w:val="00315400"/>
    <w:rsid w:val="00315C4D"/>
    <w:rsid w:val="00316D7F"/>
    <w:rsid w:val="003207C7"/>
    <w:rsid w:val="003222AF"/>
    <w:rsid w:val="00322D12"/>
    <w:rsid w:val="00324244"/>
    <w:rsid w:val="00333A64"/>
    <w:rsid w:val="003352FE"/>
    <w:rsid w:val="00335B1E"/>
    <w:rsid w:val="003445F4"/>
    <w:rsid w:val="003446EF"/>
    <w:rsid w:val="003454CE"/>
    <w:rsid w:val="00345E88"/>
    <w:rsid w:val="003464B4"/>
    <w:rsid w:val="00347E2E"/>
    <w:rsid w:val="0035100C"/>
    <w:rsid w:val="003516D4"/>
    <w:rsid w:val="00351B21"/>
    <w:rsid w:val="00354026"/>
    <w:rsid w:val="003541D5"/>
    <w:rsid w:val="00354306"/>
    <w:rsid w:val="00354371"/>
    <w:rsid w:val="0035478E"/>
    <w:rsid w:val="003559FE"/>
    <w:rsid w:val="0035744F"/>
    <w:rsid w:val="0036119D"/>
    <w:rsid w:val="003613FF"/>
    <w:rsid w:val="00361DD0"/>
    <w:rsid w:val="00363DE8"/>
    <w:rsid w:val="003655CE"/>
    <w:rsid w:val="003675D2"/>
    <w:rsid w:val="003704F8"/>
    <w:rsid w:val="00370AE8"/>
    <w:rsid w:val="00372A5C"/>
    <w:rsid w:val="00372A9D"/>
    <w:rsid w:val="00372EF5"/>
    <w:rsid w:val="00373E72"/>
    <w:rsid w:val="00375E4B"/>
    <w:rsid w:val="00375EC8"/>
    <w:rsid w:val="00376114"/>
    <w:rsid w:val="003769A8"/>
    <w:rsid w:val="00376D7F"/>
    <w:rsid w:val="00376FF1"/>
    <w:rsid w:val="00377232"/>
    <w:rsid w:val="0037737B"/>
    <w:rsid w:val="003808CD"/>
    <w:rsid w:val="003850FE"/>
    <w:rsid w:val="003903A9"/>
    <w:rsid w:val="00390D65"/>
    <w:rsid w:val="00391EA4"/>
    <w:rsid w:val="00393EAC"/>
    <w:rsid w:val="0039523D"/>
    <w:rsid w:val="00397356"/>
    <w:rsid w:val="003974EA"/>
    <w:rsid w:val="003A01AF"/>
    <w:rsid w:val="003A7E42"/>
    <w:rsid w:val="003B08D3"/>
    <w:rsid w:val="003B4530"/>
    <w:rsid w:val="003B4DB3"/>
    <w:rsid w:val="003B6188"/>
    <w:rsid w:val="003B6798"/>
    <w:rsid w:val="003B6938"/>
    <w:rsid w:val="003C0924"/>
    <w:rsid w:val="003C25D4"/>
    <w:rsid w:val="003C35C1"/>
    <w:rsid w:val="003C3A7F"/>
    <w:rsid w:val="003C5776"/>
    <w:rsid w:val="003C7A6E"/>
    <w:rsid w:val="003D4A45"/>
    <w:rsid w:val="003D7D50"/>
    <w:rsid w:val="003E2A8A"/>
    <w:rsid w:val="003E2E7E"/>
    <w:rsid w:val="003E479C"/>
    <w:rsid w:val="003E50F8"/>
    <w:rsid w:val="003E5690"/>
    <w:rsid w:val="003F05CE"/>
    <w:rsid w:val="003F1938"/>
    <w:rsid w:val="003F1B98"/>
    <w:rsid w:val="003F1ED8"/>
    <w:rsid w:val="003F286E"/>
    <w:rsid w:val="003F4F7D"/>
    <w:rsid w:val="0040091C"/>
    <w:rsid w:val="004011F0"/>
    <w:rsid w:val="004042BE"/>
    <w:rsid w:val="00405B97"/>
    <w:rsid w:val="00406796"/>
    <w:rsid w:val="00406E4C"/>
    <w:rsid w:val="00407111"/>
    <w:rsid w:val="004130C1"/>
    <w:rsid w:val="0041356B"/>
    <w:rsid w:val="0041566F"/>
    <w:rsid w:val="00415705"/>
    <w:rsid w:val="00416199"/>
    <w:rsid w:val="0041659D"/>
    <w:rsid w:val="00417BB3"/>
    <w:rsid w:val="0042015B"/>
    <w:rsid w:val="0042139E"/>
    <w:rsid w:val="004220BF"/>
    <w:rsid w:val="00422418"/>
    <w:rsid w:val="00425D62"/>
    <w:rsid w:val="004262E3"/>
    <w:rsid w:val="00430BDF"/>
    <w:rsid w:val="00431375"/>
    <w:rsid w:val="0043398C"/>
    <w:rsid w:val="004339B6"/>
    <w:rsid w:val="00434B8E"/>
    <w:rsid w:val="00435C68"/>
    <w:rsid w:val="00440C36"/>
    <w:rsid w:val="00444670"/>
    <w:rsid w:val="00444EAB"/>
    <w:rsid w:val="00445341"/>
    <w:rsid w:val="00447ADE"/>
    <w:rsid w:val="00447F38"/>
    <w:rsid w:val="00455590"/>
    <w:rsid w:val="00456214"/>
    <w:rsid w:val="00456AC7"/>
    <w:rsid w:val="00456C6C"/>
    <w:rsid w:val="00457114"/>
    <w:rsid w:val="0046048F"/>
    <w:rsid w:val="004627ED"/>
    <w:rsid w:val="00462AAD"/>
    <w:rsid w:val="00464869"/>
    <w:rsid w:val="0046677D"/>
    <w:rsid w:val="0047033D"/>
    <w:rsid w:val="00475B93"/>
    <w:rsid w:val="00480626"/>
    <w:rsid w:val="0048200B"/>
    <w:rsid w:val="00483F89"/>
    <w:rsid w:val="00486A1E"/>
    <w:rsid w:val="00487E71"/>
    <w:rsid w:val="00495005"/>
    <w:rsid w:val="0049629B"/>
    <w:rsid w:val="00497A33"/>
    <w:rsid w:val="004A0AAE"/>
    <w:rsid w:val="004A1C9E"/>
    <w:rsid w:val="004A2858"/>
    <w:rsid w:val="004A3394"/>
    <w:rsid w:val="004A567A"/>
    <w:rsid w:val="004A5758"/>
    <w:rsid w:val="004A6B26"/>
    <w:rsid w:val="004A75AC"/>
    <w:rsid w:val="004B0A47"/>
    <w:rsid w:val="004B0BB3"/>
    <w:rsid w:val="004B0E56"/>
    <w:rsid w:val="004B13FF"/>
    <w:rsid w:val="004B19A1"/>
    <w:rsid w:val="004B31A9"/>
    <w:rsid w:val="004B40BA"/>
    <w:rsid w:val="004B5B26"/>
    <w:rsid w:val="004C26D0"/>
    <w:rsid w:val="004C7201"/>
    <w:rsid w:val="004C7747"/>
    <w:rsid w:val="004D0D53"/>
    <w:rsid w:val="004D10CA"/>
    <w:rsid w:val="004D1E38"/>
    <w:rsid w:val="004D251A"/>
    <w:rsid w:val="004D2F30"/>
    <w:rsid w:val="004D3217"/>
    <w:rsid w:val="004D38BE"/>
    <w:rsid w:val="004D3B46"/>
    <w:rsid w:val="004D4995"/>
    <w:rsid w:val="004D51EA"/>
    <w:rsid w:val="004D658C"/>
    <w:rsid w:val="004D66E9"/>
    <w:rsid w:val="004D6833"/>
    <w:rsid w:val="004E25E9"/>
    <w:rsid w:val="004E2EF5"/>
    <w:rsid w:val="004E3CD2"/>
    <w:rsid w:val="004E3ED3"/>
    <w:rsid w:val="004E497C"/>
    <w:rsid w:val="004F0CDC"/>
    <w:rsid w:val="004F1069"/>
    <w:rsid w:val="004F28B3"/>
    <w:rsid w:val="004F554B"/>
    <w:rsid w:val="004F74BC"/>
    <w:rsid w:val="004F78B4"/>
    <w:rsid w:val="00504A1A"/>
    <w:rsid w:val="00511E40"/>
    <w:rsid w:val="0051316D"/>
    <w:rsid w:val="00513DA7"/>
    <w:rsid w:val="00514600"/>
    <w:rsid w:val="00514B14"/>
    <w:rsid w:val="00515699"/>
    <w:rsid w:val="00516E7D"/>
    <w:rsid w:val="00516F49"/>
    <w:rsid w:val="0052035B"/>
    <w:rsid w:val="00520B00"/>
    <w:rsid w:val="00524304"/>
    <w:rsid w:val="0052580A"/>
    <w:rsid w:val="00525CB3"/>
    <w:rsid w:val="0052601D"/>
    <w:rsid w:val="005261A2"/>
    <w:rsid w:val="00531F3B"/>
    <w:rsid w:val="00532814"/>
    <w:rsid w:val="00534EC9"/>
    <w:rsid w:val="005375BE"/>
    <w:rsid w:val="00541DB9"/>
    <w:rsid w:val="00545713"/>
    <w:rsid w:val="00547BC0"/>
    <w:rsid w:val="00550E6D"/>
    <w:rsid w:val="00551C48"/>
    <w:rsid w:val="005536AA"/>
    <w:rsid w:val="00555265"/>
    <w:rsid w:val="00555EF2"/>
    <w:rsid w:val="00557FC5"/>
    <w:rsid w:val="00560410"/>
    <w:rsid w:val="00560437"/>
    <w:rsid w:val="00560E7B"/>
    <w:rsid w:val="00561947"/>
    <w:rsid w:val="0056269E"/>
    <w:rsid w:val="00564164"/>
    <w:rsid w:val="0056433A"/>
    <w:rsid w:val="005645A2"/>
    <w:rsid w:val="00564628"/>
    <w:rsid w:val="005712D2"/>
    <w:rsid w:val="00572887"/>
    <w:rsid w:val="0057378E"/>
    <w:rsid w:val="00574229"/>
    <w:rsid w:val="00574916"/>
    <w:rsid w:val="00584A45"/>
    <w:rsid w:val="00585CD7"/>
    <w:rsid w:val="0059007B"/>
    <w:rsid w:val="00590D40"/>
    <w:rsid w:val="00592332"/>
    <w:rsid w:val="00594575"/>
    <w:rsid w:val="00594B4B"/>
    <w:rsid w:val="0059594C"/>
    <w:rsid w:val="005972E4"/>
    <w:rsid w:val="005A14D8"/>
    <w:rsid w:val="005A2845"/>
    <w:rsid w:val="005A70FD"/>
    <w:rsid w:val="005A7649"/>
    <w:rsid w:val="005B0846"/>
    <w:rsid w:val="005B0BE7"/>
    <w:rsid w:val="005B3D2A"/>
    <w:rsid w:val="005B4740"/>
    <w:rsid w:val="005B483F"/>
    <w:rsid w:val="005B4CCD"/>
    <w:rsid w:val="005C05C7"/>
    <w:rsid w:val="005C0659"/>
    <w:rsid w:val="005C1EF8"/>
    <w:rsid w:val="005C2800"/>
    <w:rsid w:val="005C2888"/>
    <w:rsid w:val="005C2B32"/>
    <w:rsid w:val="005C3CA4"/>
    <w:rsid w:val="005C52A7"/>
    <w:rsid w:val="005C61B1"/>
    <w:rsid w:val="005D0E05"/>
    <w:rsid w:val="005D24D3"/>
    <w:rsid w:val="005D2A89"/>
    <w:rsid w:val="005D3972"/>
    <w:rsid w:val="005D502B"/>
    <w:rsid w:val="005D58DE"/>
    <w:rsid w:val="005D6432"/>
    <w:rsid w:val="005E25B0"/>
    <w:rsid w:val="005E454E"/>
    <w:rsid w:val="005E5A77"/>
    <w:rsid w:val="005E5FAF"/>
    <w:rsid w:val="005F0BF6"/>
    <w:rsid w:val="005F1217"/>
    <w:rsid w:val="005F2AC6"/>
    <w:rsid w:val="005F4CBE"/>
    <w:rsid w:val="005F5E0C"/>
    <w:rsid w:val="005F6134"/>
    <w:rsid w:val="005F65E2"/>
    <w:rsid w:val="005F6B31"/>
    <w:rsid w:val="005F76E7"/>
    <w:rsid w:val="005F7B64"/>
    <w:rsid w:val="00600F30"/>
    <w:rsid w:val="00606069"/>
    <w:rsid w:val="00606268"/>
    <w:rsid w:val="0060656E"/>
    <w:rsid w:val="00607186"/>
    <w:rsid w:val="00607765"/>
    <w:rsid w:val="00610175"/>
    <w:rsid w:val="0061025A"/>
    <w:rsid w:val="00610785"/>
    <w:rsid w:val="006114AA"/>
    <w:rsid w:val="00611770"/>
    <w:rsid w:val="006139E8"/>
    <w:rsid w:val="0061434F"/>
    <w:rsid w:val="00614F65"/>
    <w:rsid w:val="006162B8"/>
    <w:rsid w:val="00617840"/>
    <w:rsid w:val="00617A4B"/>
    <w:rsid w:val="00617C87"/>
    <w:rsid w:val="00621FA9"/>
    <w:rsid w:val="00622F29"/>
    <w:rsid w:val="00624241"/>
    <w:rsid w:val="0062559B"/>
    <w:rsid w:val="006259C9"/>
    <w:rsid w:val="006266D5"/>
    <w:rsid w:val="00626DEE"/>
    <w:rsid w:val="0062761B"/>
    <w:rsid w:val="006279F7"/>
    <w:rsid w:val="00627FBE"/>
    <w:rsid w:val="0063427D"/>
    <w:rsid w:val="00640B6F"/>
    <w:rsid w:val="00640BF1"/>
    <w:rsid w:val="006411A2"/>
    <w:rsid w:val="00645879"/>
    <w:rsid w:val="0064793F"/>
    <w:rsid w:val="00647A21"/>
    <w:rsid w:val="0065218D"/>
    <w:rsid w:val="0065680B"/>
    <w:rsid w:val="00657892"/>
    <w:rsid w:val="00657E3E"/>
    <w:rsid w:val="006603A4"/>
    <w:rsid w:val="0066345D"/>
    <w:rsid w:val="00665410"/>
    <w:rsid w:val="00666548"/>
    <w:rsid w:val="00674217"/>
    <w:rsid w:val="00674449"/>
    <w:rsid w:val="006747A6"/>
    <w:rsid w:val="00676977"/>
    <w:rsid w:val="006775D1"/>
    <w:rsid w:val="0067799A"/>
    <w:rsid w:val="006807CF"/>
    <w:rsid w:val="00682923"/>
    <w:rsid w:val="006858A8"/>
    <w:rsid w:val="00686186"/>
    <w:rsid w:val="006876D6"/>
    <w:rsid w:val="00687C33"/>
    <w:rsid w:val="00690F1C"/>
    <w:rsid w:val="00694A21"/>
    <w:rsid w:val="00695E68"/>
    <w:rsid w:val="00697159"/>
    <w:rsid w:val="00697B11"/>
    <w:rsid w:val="00697EA8"/>
    <w:rsid w:val="006A1E97"/>
    <w:rsid w:val="006A204B"/>
    <w:rsid w:val="006A6860"/>
    <w:rsid w:val="006A726F"/>
    <w:rsid w:val="006A7463"/>
    <w:rsid w:val="006A78EF"/>
    <w:rsid w:val="006B10C3"/>
    <w:rsid w:val="006B1266"/>
    <w:rsid w:val="006B3AD5"/>
    <w:rsid w:val="006B5523"/>
    <w:rsid w:val="006B6A92"/>
    <w:rsid w:val="006C018B"/>
    <w:rsid w:val="006C18DF"/>
    <w:rsid w:val="006C48EE"/>
    <w:rsid w:val="006C4A86"/>
    <w:rsid w:val="006C5911"/>
    <w:rsid w:val="006D0768"/>
    <w:rsid w:val="006D13D3"/>
    <w:rsid w:val="006D2869"/>
    <w:rsid w:val="006D2E92"/>
    <w:rsid w:val="006D2F89"/>
    <w:rsid w:val="006D3BD3"/>
    <w:rsid w:val="006D3D66"/>
    <w:rsid w:val="006D6C57"/>
    <w:rsid w:val="006E036F"/>
    <w:rsid w:val="006E058D"/>
    <w:rsid w:val="006E48AD"/>
    <w:rsid w:val="006E4CF5"/>
    <w:rsid w:val="006F0732"/>
    <w:rsid w:val="006F0824"/>
    <w:rsid w:val="006F0EDA"/>
    <w:rsid w:val="006F1585"/>
    <w:rsid w:val="006F2269"/>
    <w:rsid w:val="006F33C2"/>
    <w:rsid w:val="006F3410"/>
    <w:rsid w:val="006F489E"/>
    <w:rsid w:val="006F7D3E"/>
    <w:rsid w:val="00700DEF"/>
    <w:rsid w:val="007010B4"/>
    <w:rsid w:val="007013EA"/>
    <w:rsid w:val="007015B2"/>
    <w:rsid w:val="007022BB"/>
    <w:rsid w:val="0070398E"/>
    <w:rsid w:val="00705AD2"/>
    <w:rsid w:val="0070602D"/>
    <w:rsid w:val="007065B9"/>
    <w:rsid w:val="007066AD"/>
    <w:rsid w:val="00706E05"/>
    <w:rsid w:val="007106A3"/>
    <w:rsid w:val="00713CA9"/>
    <w:rsid w:val="007145F5"/>
    <w:rsid w:val="007149D3"/>
    <w:rsid w:val="00715D16"/>
    <w:rsid w:val="00715E4A"/>
    <w:rsid w:val="00716273"/>
    <w:rsid w:val="007167F5"/>
    <w:rsid w:val="00717E40"/>
    <w:rsid w:val="00721EED"/>
    <w:rsid w:val="007279C7"/>
    <w:rsid w:val="00733794"/>
    <w:rsid w:val="007349E5"/>
    <w:rsid w:val="007357C6"/>
    <w:rsid w:val="0073628B"/>
    <w:rsid w:val="007379B3"/>
    <w:rsid w:val="0074195A"/>
    <w:rsid w:val="00743578"/>
    <w:rsid w:val="00746F82"/>
    <w:rsid w:val="00747D6D"/>
    <w:rsid w:val="00750663"/>
    <w:rsid w:val="00752531"/>
    <w:rsid w:val="0075495E"/>
    <w:rsid w:val="007559E1"/>
    <w:rsid w:val="007579C2"/>
    <w:rsid w:val="007627C1"/>
    <w:rsid w:val="00762D77"/>
    <w:rsid w:val="0076339E"/>
    <w:rsid w:val="00763B54"/>
    <w:rsid w:val="00765B6F"/>
    <w:rsid w:val="00771218"/>
    <w:rsid w:val="007726AB"/>
    <w:rsid w:val="007748ED"/>
    <w:rsid w:val="00774DBC"/>
    <w:rsid w:val="00775F1A"/>
    <w:rsid w:val="0077738E"/>
    <w:rsid w:val="007774EA"/>
    <w:rsid w:val="007818AF"/>
    <w:rsid w:val="00783C39"/>
    <w:rsid w:val="007845F5"/>
    <w:rsid w:val="00784DFA"/>
    <w:rsid w:val="00784F73"/>
    <w:rsid w:val="00786A2D"/>
    <w:rsid w:val="00786BFF"/>
    <w:rsid w:val="00786DEF"/>
    <w:rsid w:val="00790F99"/>
    <w:rsid w:val="0079104F"/>
    <w:rsid w:val="00794591"/>
    <w:rsid w:val="00796E43"/>
    <w:rsid w:val="007A07E6"/>
    <w:rsid w:val="007A09A4"/>
    <w:rsid w:val="007A1FBA"/>
    <w:rsid w:val="007A329A"/>
    <w:rsid w:val="007B04BF"/>
    <w:rsid w:val="007B051C"/>
    <w:rsid w:val="007B087D"/>
    <w:rsid w:val="007B0C9D"/>
    <w:rsid w:val="007B1758"/>
    <w:rsid w:val="007B2110"/>
    <w:rsid w:val="007B2A39"/>
    <w:rsid w:val="007B34CC"/>
    <w:rsid w:val="007B6426"/>
    <w:rsid w:val="007C4943"/>
    <w:rsid w:val="007C4E11"/>
    <w:rsid w:val="007C5FA0"/>
    <w:rsid w:val="007C6DBB"/>
    <w:rsid w:val="007C764C"/>
    <w:rsid w:val="007D061A"/>
    <w:rsid w:val="007D20E5"/>
    <w:rsid w:val="007D4A8F"/>
    <w:rsid w:val="007D5060"/>
    <w:rsid w:val="007D5D71"/>
    <w:rsid w:val="007D6399"/>
    <w:rsid w:val="007E2322"/>
    <w:rsid w:val="007E2D04"/>
    <w:rsid w:val="007E492F"/>
    <w:rsid w:val="007E592F"/>
    <w:rsid w:val="007E657A"/>
    <w:rsid w:val="007E6C9A"/>
    <w:rsid w:val="007E6E07"/>
    <w:rsid w:val="007F1115"/>
    <w:rsid w:val="007F1BFF"/>
    <w:rsid w:val="007F1C48"/>
    <w:rsid w:val="007F246D"/>
    <w:rsid w:val="007F4A95"/>
    <w:rsid w:val="007F5943"/>
    <w:rsid w:val="007F59BB"/>
    <w:rsid w:val="008007CF"/>
    <w:rsid w:val="008011D6"/>
    <w:rsid w:val="00802E04"/>
    <w:rsid w:val="008042C9"/>
    <w:rsid w:val="00804964"/>
    <w:rsid w:val="008053CE"/>
    <w:rsid w:val="00805415"/>
    <w:rsid w:val="008057D7"/>
    <w:rsid w:val="00812E3F"/>
    <w:rsid w:val="0081334D"/>
    <w:rsid w:val="00815BE4"/>
    <w:rsid w:val="00816D0D"/>
    <w:rsid w:val="0082416E"/>
    <w:rsid w:val="00830C41"/>
    <w:rsid w:val="00830C4C"/>
    <w:rsid w:val="00831638"/>
    <w:rsid w:val="00833E3F"/>
    <w:rsid w:val="008368F7"/>
    <w:rsid w:val="00836905"/>
    <w:rsid w:val="0084609E"/>
    <w:rsid w:val="008468CC"/>
    <w:rsid w:val="008511F1"/>
    <w:rsid w:val="008514F1"/>
    <w:rsid w:val="00851E2D"/>
    <w:rsid w:val="00852732"/>
    <w:rsid w:val="00852C91"/>
    <w:rsid w:val="00854794"/>
    <w:rsid w:val="008549F2"/>
    <w:rsid w:val="008647EC"/>
    <w:rsid w:val="00864D08"/>
    <w:rsid w:val="008656F4"/>
    <w:rsid w:val="00871FCD"/>
    <w:rsid w:val="00872739"/>
    <w:rsid w:val="00872898"/>
    <w:rsid w:val="008731EF"/>
    <w:rsid w:val="0087353D"/>
    <w:rsid w:val="00874290"/>
    <w:rsid w:val="008743AA"/>
    <w:rsid w:val="0087726B"/>
    <w:rsid w:val="00882403"/>
    <w:rsid w:val="00884792"/>
    <w:rsid w:val="0088503A"/>
    <w:rsid w:val="00886EA3"/>
    <w:rsid w:val="00887258"/>
    <w:rsid w:val="0088756C"/>
    <w:rsid w:val="00887718"/>
    <w:rsid w:val="008918EE"/>
    <w:rsid w:val="00891BD0"/>
    <w:rsid w:val="00891BE0"/>
    <w:rsid w:val="00893468"/>
    <w:rsid w:val="0089460A"/>
    <w:rsid w:val="0089760D"/>
    <w:rsid w:val="008A0314"/>
    <w:rsid w:val="008A2678"/>
    <w:rsid w:val="008A3275"/>
    <w:rsid w:val="008A5465"/>
    <w:rsid w:val="008B02EA"/>
    <w:rsid w:val="008B1DB0"/>
    <w:rsid w:val="008B276E"/>
    <w:rsid w:val="008B6DB5"/>
    <w:rsid w:val="008C4766"/>
    <w:rsid w:val="008D1C3D"/>
    <w:rsid w:val="008D2228"/>
    <w:rsid w:val="008D38CC"/>
    <w:rsid w:val="008D4EE5"/>
    <w:rsid w:val="008D5624"/>
    <w:rsid w:val="008D5A03"/>
    <w:rsid w:val="008E1AC0"/>
    <w:rsid w:val="008E1CB4"/>
    <w:rsid w:val="008E5121"/>
    <w:rsid w:val="008E5BCC"/>
    <w:rsid w:val="008E6BCC"/>
    <w:rsid w:val="008E6CDC"/>
    <w:rsid w:val="008F1030"/>
    <w:rsid w:val="008F3209"/>
    <w:rsid w:val="008F3661"/>
    <w:rsid w:val="008F4F2D"/>
    <w:rsid w:val="008F511C"/>
    <w:rsid w:val="008F58C0"/>
    <w:rsid w:val="009015AA"/>
    <w:rsid w:val="0090179E"/>
    <w:rsid w:val="0090189B"/>
    <w:rsid w:val="00903434"/>
    <w:rsid w:val="00907F9C"/>
    <w:rsid w:val="009128F3"/>
    <w:rsid w:val="0091300B"/>
    <w:rsid w:val="009148BA"/>
    <w:rsid w:val="00916061"/>
    <w:rsid w:val="00916667"/>
    <w:rsid w:val="00916E84"/>
    <w:rsid w:val="0092050F"/>
    <w:rsid w:val="00923F75"/>
    <w:rsid w:val="009246AC"/>
    <w:rsid w:val="00924C17"/>
    <w:rsid w:val="009258B4"/>
    <w:rsid w:val="009267E0"/>
    <w:rsid w:val="00930548"/>
    <w:rsid w:val="00930686"/>
    <w:rsid w:val="00931713"/>
    <w:rsid w:val="00934DC2"/>
    <w:rsid w:val="009356CB"/>
    <w:rsid w:val="00937553"/>
    <w:rsid w:val="00940F7F"/>
    <w:rsid w:val="00941BEF"/>
    <w:rsid w:val="009475C3"/>
    <w:rsid w:val="00951FB4"/>
    <w:rsid w:val="00953C4E"/>
    <w:rsid w:val="00953EBB"/>
    <w:rsid w:val="00954C32"/>
    <w:rsid w:val="00955FAD"/>
    <w:rsid w:val="00957D0A"/>
    <w:rsid w:val="00961C82"/>
    <w:rsid w:val="00965106"/>
    <w:rsid w:val="00965346"/>
    <w:rsid w:val="0096735D"/>
    <w:rsid w:val="00971421"/>
    <w:rsid w:val="00971906"/>
    <w:rsid w:val="00973132"/>
    <w:rsid w:val="00973D2A"/>
    <w:rsid w:val="00973D5D"/>
    <w:rsid w:val="00975090"/>
    <w:rsid w:val="0097509A"/>
    <w:rsid w:val="00975235"/>
    <w:rsid w:val="00975CAA"/>
    <w:rsid w:val="009762AF"/>
    <w:rsid w:val="009769F0"/>
    <w:rsid w:val="00977486"/>
    <w:rsid w:val="00980B93"/>
    <w:rsid w:val="00981C95"/>
    <w:rsid w:val="00982510"/>
    <w:rsid w:val="00983C05"/>
    <w:rsid w:val="00983EA2"/>
    <w:rsid w:val="0098593E"/>
    <w:rsid w:val="00985EE3"/>
    <w:rsid w:val="0099206B"/>
    <w:rsid w:val="00993E53"/>
    <w:rsid w:val="009941BA"/>
    <w:rsid w:val="0099460E"/>
    <w:rsid w:val="00995D36"/>
    <w:rsid w:val="00996270"/>
    <w:rsid w:val="009A25A8"/>
    <w:rsid w:val="009A6319"/>
    <w:rsid w:val="009A65BE"/>
    <w:rsid w:val="009A754A"/>
    <w:rsid w:val="009A7920"/>
    <w:rsid w:val="009B0C81"/>
    <w:rsid w:val="009B1452"/>
    <w:rsid w:val="009B1587"/>
    <w:rsid w:val="009B3B06"/>
    <w:rsid w:val="009B442E"/>
    <w:rsid w:val="009B4742"/>
    <w:rsid w:val="009C0C61"/>
    <w:rsid w:val="009C2A45"/>
    <w:rsid w:val="009C6FA8"/>
    <w:rsid w:val="009C7F31"/>
    <w:rsid w:val="009D15B4"/>
    <w:rsid w:val="009D59F2"/>
    <w:rsid w:val="009D5D64"/>
    <w:rsid w:val="009D7F82"/>
    <w:rsid w:val="009E01A6"/>
    <w:rsid w:val="009E0C2D"/>
    <w:rsid w:val="009E0CEF"/>
    <w:rsid w:val="009E0E6C"/>
    <w:rsid w:val="009E0F61"/>
    <w:rsid w:val="009E26CD"/>
    <w:rsid w:val="009E2871"/>
    <w:rsid w:val="009E29F1"/>
    <w:rsid w:val="009E3C38"/>
    <w:rsid w:val="009E41CD"/>
    <w:rsid w:val="009E56C1"/>
    <w:rsid w:val="009E5DE9"/>
    <w:rsid w:val="009E6260"/>
    <w:rsid w:val="009E6EDE"/>
    <w:rsid w:val="009E7AAC"/>
    <w:rsid w:val="009F00C6"/>
    <w:rsid w:val="009F1473"/>
    <w:rsid w:val="009F1AFA"/>
    <w:rsid w:val="009F257D"/>
    <w:rsid w:val="009F38C4"/>
    <w:rsid w:val="009F3F24"/>
    <w:rsid w:val="009F4D72"/>
    <w:rsid w:val="009F4D87"/>
    <w:rsid w:val="009F5F68"/>
    <w:rsid w:val="009F756D"/>
    <w:rsid w:val="00A00993"/>
    <w:rsid w:val="00A00D2D"/>
    <w:rsid w:val="00A01182"/>
    <w:rsid w:val="00A034C7"/>
    <w:rsid w:val="00A03DB0"/>
    <w:rsid w:val="00A04C26"/>
    <w:rsid w:val="00A04D31"/>
    <w:rsid w:val="00A05B35"/>
    <w:rsid w:val="00A060B2"/>
    <w:rsid w:val="00A062C4"/>
    <w:rsid w:val="00A07400"/>
    <w:rsid w:val="00A07BCC"/>
    <w:rsid w:val="00A1042E"/>
    <w:rsid w:val="00A114DD"/>
    <w:rsid w:val="00A125B9"/>
    <w:rsid w:val="00A15BC7"/>
    <w:rsid w:val="00A166CD"/>
    <w:rsid w:val="00A1686E"/>
    <w:rsid w:val="00A20087"/>
    <w:rsid w:val="00A202ED"/>
    <w:rsid w:val="00A2407C"/>
    <w:rsid w:val="00A24DA0"/>
    <w:rsid w:val="00A25B4D"/>
    <w:rsid w:val="00A26C38"/>
    <w:rsid w:val="00A27022"/>
    <w:rsid w:val="00A30C9C"/>
    <w:rsid w:val="00A3182C"/>
    <w:rsid w:val="00A3255C"/>
    <w:rsid w:val="00A34E19"/>
    <w:rsid w:val="00A364CD"/>
    <w:rsid w:val="00A36EB7"/>
    <w:rsid w:val="00A37CFC"/>
    <w:rsid w:val="00A40150"/>
    <w:rsid w:val="00A40324"/>
    <w:rsid w:val="00A4036C"/>
    <w:rsid w:val="00A40B98"/>
    <w:rsid w:val="00A40CD1"/>
    <w:rsid w:val="00A449F3"/>
    <w:rsid w:val="00A4514E"/>
    <w:rsid w:val="00A451B7"/>
    <w:rsid w:val="00A45DA0"/>
    <w:rsid w:val="00A461F7"/>
    <w:rsid w:val="00A47524"/>
    <w:rsid w:val="00A54FD9"/>
    <w:rsid w:val="00A55F80"/>
    <w:rsid w:val="00A56FFC"/>
    <w:rsid w:val="00A57F22"/>
    <w:rsid w:val="00A60741"/>
    <w:rsid w:val="00A60CA9"/>
    <w:rsid w:val="00A60D30"/>
    <w:rsid w:val="00A66CBF"/>
    <w:rsid w:val="00A66ED3"/>
    <w:rsid w:val="00A66F71"/>
    <w:rsid w:val="00A6724E"/>
    <w:rsid w:val="00A70A08"/>
    <w:rsid w:val="00A73210"/>
    <w:rsid w:val="00A73D6B"/>
    <w:rsid w:val="00A75CB2"/>
    <w:rsid w:val="00A77A15"/>
    <w:rsid w:val="00A800EB"/>
    <w:rsid w:val="00A807A5"/>
    <w:rsid w:val="00A8253A"/>
    <w:rsid w:val="00A82B44"/>
    <w:rsid w:val="00A8302F"/>
    <w:rsid w:val="00A83AB4"/>
    <w:rsid w:val="00A8410F"/>
    <w:rsid w:val="00A85937"/>
    <w:rsid w:val="00A8599A"/>
    <w:rsid w:val="00A86041"/>
    <w:rsid w:val="00A902D1"/>
    <w:rsid w:val="00A91EE0"/>
    <w:rsid w:val="00A92326"/>
    <w:rsid w:val="00A95A3B"/>
    <w:rsid w:val="00A9642F"/>
    <w:rsid w:val="00AA02B0"/>
    <w:rsid w:val="00AA172E"/>
    <w:rsid w:val="00AA1869"/>
    <w:rsid w:val="00AA266A"/>
    <w:rsid w:val="00AA268C"/>
    <w:rsid w:val="00AA2CD7"/>
    <w:rsid w:val="00AA5637"/>
    <w:rsid w:val="00AA7604"/>
    <w:rsid w:val="00AA7ACB"/>
    <w:rsid w:val="00AB2E64"/>
    <w:rsid w:val="00AB40B8"/>
    <w:rsid w:val="00AB7ADA"/>
    <w:rsid w:val="00AC0286"/>
    <w:rsid w:val="00AC0B74"/>
    <w:rsid w:val="00AC2795"/>
    <w:rsid w:val="00AC33C8"/>
    <w:rsid w:val="00AC3CA1"/>
    <w:rsid w:val="00AC3FDB"/>
    <w:rsid w:val="00AC4A16"/>
    <w:rsid w:val="00AD25D2"/>
    <w:rsid w:val="00AD3369"/>
    <w:rsid w:val="00AD5623"/>
    <w:rsid w:val="00AD611E"/>
    <w:rsid w:val="00AD7FC0"/>
    <w:rsid w:val="00AE082F"/>
    <w:rsid w:val="00AE098F"/>
    <w:rsid w:val="00AE0B6F"/>
    <w:rsid w:val="00AE1121"/>
    <w:rsid w:val="00AE2404"/>
    <w:rsid w:val="00AE542B"/>
    <w:rsid w:val="00AF0312"/>
    <w:rsid w:val="00AF0C05"/>
    <w:rsid w:val="00AF0EEB"/>
    <w:rsid w:val="00AF1EA3"/>
    <w:rsid w:val="00AF2878"/>
    <w:rsid w:val="00AF288D"/>
    <w:rsid w:val="00AF5A07"/>
    <w:rsid w:val="00AF65D5"/>
    <w:rsid w:val="00B00192"/>
    <w:rsid w:val="00B00737"/>
    <w:rsid w:val="00B00F67"/>
    <w:rsid w:val="00B04445"/>
    <w:rsid w:val="00B04A00"/>
    <w:rsid w:val="00B1179E"/>
    <w:rsid w:val="00B137A9"/>
    <w:rsid w:val="00B15504"/>
    <w:rsid w:val="00B157E2"/>
    <w:rsid w:val="00B16A02"/>
    <w:rsid w:val="00B16C03"/>
    <w:rsid w:val="00B17617"/>
    <w:rsid w:val="00B176E9"/>
    <w:rsid w:val="00B2028E"/>
    <w:rsid w:val="00B22589"/>
    <w:rsid w:val="00B22E35"/>
    <w:rsid w:val="00B24E32"/>
    <w:rsid w:val="00B24F82"/>
    <w:rsid w:val="00B25CDC"/>
    <w:rsid w:val="00B278F3"/>
    <w:rsid w:val="00B3387A"/>
    <w:rsid w:val="00B34A4E"/>
    <w:rsid w:val="00B37522"/>
    <w:rsid w:val="00B46DEE"/>
    <w:rsid w:val="00B47B20"/>
    <w:rsid w:val="00B51B9B"/>
    <w:rsid w:val="00B52D63"/>
    <w:rsid w:val="00B53A44"/>
    <w:rsid w:val="00B53B8E"/>
    <w:rsid w:val="00B54567"/>
    <w:rsid w:val="00B54C07"/>
    <w:rsid w:val="00B552F9"/>
    <w:rsid w:val="00B62594"/>
    <w:rsid w:val="00B637E6"/>
    <w:rsid w:val="00B63869"/>
    <w:rsid w:val="00B64978"/>
    <w:rsid w:val="00B66DEB"/>
    <w:rsid w:val="00B701AD"/>
    <w:rsid w:val="00B70AE5"/>
    <w:rsid w:val="00B70EC1"/>
    <w:rsid w:val="00B73D18"/>
    <w:rsid w:val="00B8033E"/>
    <w:rsid w:val="00B80D27"/>
    <w:rsid w:val="00B84954"/>
    <w:rsid w:val="00B855DE"/>
    <w:rsid w:val="00B869B7"/>
    <w:rsid w:val="00B87730"/>
    <w:rsid w:val="00B878D1"/>
    <w:rsid w:val="00B90984"/>
    <w:rsid w:val="00B90C1C"/>
    <w:rsid w:val="00B90D7D"/>
    <w:rsid w:val="00B93BB3"/>
    <w:rsid w:val="00B951E3"/>
    <w:rsid w:val="00B962D1"/>
    <w:rsid w:val="00B970C3"/>
    <w:rsid w:val="00B97C49"/>
    <w:rsid w:val="00BA062A"/>
    <w:rsid w:val="00BB0D77"/>
    <w:rsid w:val="00BB5035"/>
    <w:rsid w:val="00BB647A"/>
    <w:rsid w:val="00BC3CFB"/>
    <w:rsid w:val="00BC417C"/>
    <w:rsid w:val="00BC4A80"/>
    <w:rsid w:val="00BC5D32"/>
    <w:rsid w:val="00BC6D7A"/>
    <w:rsid w:val="00BC77EA"/>
    <w:rsid w:val="00BC7BC3"/>
    <w:rsid w:val="00BC7DD9"/>
    <w:rsid w:val="00BD0589"/>
    <w:rsid w:val="00BD310E"/>
    <w:rsid w:val="00BD4008"/>
    <w:rsid w:val="00BD40FA"/>
    <w:rsid w:val="00BD4DE1"/>
    <w:rsid w:val="00BD6120"/>
    <w:rsid w:val="00BD69F2"/>
    <w:rsid w:val="00BD76B8"/>
    <w:rsid w:val="00BD7A16"/>
    <w:rsid w:val="00BE0BC3"/>
    <w:rsid w:val="00BE1441"/>
    <w:rsid w:val="00BE23D3"/>
    <w:rsid w:val="00BE38E1"/>
    <w:rsid w:val="00BE451E"/>
    <w:rsid w:val="00BE56CA"/>
    <w:rsid w:val="00BE62F0"/>
    <w:rsid w:val="00BF0E09"/>
    <w:rsid w:val="00BF13AD"/>
    <w:rsid w:val="00BF1734"/>
    <w:rsid w:val="00BF1A8E"/>
    <w:rsid w:val="00BF2AFD"/>
    <w:rsid w:val="00BF2C41"/>
    <w:rsid w:val="00BF2FE1"/>
    <w:rsid w:val="00BF3EC8"/>
    <w:rsid w:val="00BF454A"/>
    <w:rsid w:val="00BF55AA"/>
    <w:rsid w:val="00BF5A99"/>
    <w:rsid w:val="00C00180"/>
    <w:rsid w:val="00C01876"/>
    <w:rsid w:val="00C03B62"/>
    <w:rsid w:val="00C05D7E"/>
    <w:rsid w:val="00C073F3"/>
    <w:rsid w:val="00C1147E"/>
    <w:rsid w:val="00C11760"/>
    <w:rsid w:val="00C15471"/>
    <w:rsid w:val="00C160BF"/>
    <w:rsid w:val="00C20C57"/>
    <w:rsid w:val="00C21006"/>
    <w:rsid w:val="00C21855"/>
    <w:rsid w:val="00C22ECE"/>
    <w:rsid w:val="00C231DD"/>
    <w:rsid w:val="00C2361A"/>
    <w:rsid w:val="00C31F9A"/>
    <w:rsid w:val="00C329F6"/>
    <w:rsid w:val="00C33322"/>
    <w:rsid w:val="00C33CCE"/>
    <w:rsid w:val="00C35460"/>
    <w:rsid w:val="00C3768C"/>
    <w:rsid w:val="00C41845"/>
    <w:rsid w:val="00C42D1A"/>
    <w:rsid w:val="00C43F78"/>
    <w:rsid w:val="00C44393"/>
    <w:rsid w:val="00C46831"/>
    <w:rsid w:val="00C50731"/>
    <w:rsid w:val="00C57C67"/>
    <w:rsid w:val="00C60F89"/>
    <w:rsid w:val="00C61F41"/>
    <w:rsid w:val="00C62112"/>
    <w:rsid w:val="00C62F6C"/>
    <w:rsid w:val="00C6363A"/>
    <w:rsid w:val="00C64426"/>
    <w:rsid w:val="00C646F5"/>
    <w:rsid w:val="00C65532"/>
    <w:rsid w:val="00C6723C"/>
    <w:rsid w:val="00C73892"/>
    <w:rsid w:val="00C744EE"/>
    <w:rsid w:val="00C74909"/>
    <w:rsid w:val="00C80DB8"/>
    <w:rsid w:val="00C80E7C"/>
    <w:rsid w:val="00C81130"/>
    <w:rsid w:val="00C83EEA"/>
    <w:rsid w:val="00C8507F"/>
    <w:rsid w:val="00C87D23"/>
    <w:rsid w:val="00C94851"/>
    <w:rsid w:val="00C94E62"/>
    <w:rsid w:val="00C96031"/>
    <w:rsid w:val="00C96510"/>
    <w:rsid w:val="00CA16A1"/>
    <w:rsid w:val="00CA30D0"/>
    <w:rsid w:val="00CA36CC"/>
    <w:rsid w:val="00CA512B"/>
    <w:rsid w:val="00CA5FAA"/>
    <w:rsid w:val="00CA7852"/>
    <w:rsid w:val="00CA7B27"/>
    <w:rsid w:val="00CB1A9A"/>
    <w:rsid w:val="00CB3C53"/>
    <w:rsid w:val="00CB4705"/>
    <w:rsid w:val="00CB534F"/>
    <w:rsid w:val="00CB5B0B"/>
    <w:rsid w:val="00CB6006"/>
    <w:rsid w:val="00CB760F"/>
    <w:rsid w:val="00CB7DF1"/>
    <w:rsid w:val="00CC1703"/>
    <w:rsid w:val="00CC20DB"/>
    <w:rsid w:val="00CC3968"/>
    <w:rsid w:val="00CC3F93"/>
    <w:rsid w:val="00CC4F46"/>
    <w:rsid w:val="00CC559B"/>
    <w:rsid w:val="00CC7771"/>
    <w:rsid w:val="00CD633E"/>
    <w:rsid w:val="00CD76B4"/>
    <w:rsid w:val="00CD7F04"/>
    <w:rsid w:val="00CE0669"/>
    <w:rsid w:val="00CE6B22"/>
    <w:rsid w:val="00CE7702"/>
    <w:rsid w:val="00CE7B49"/>
    <w:rsid w:val="00CF1579"/>
    <w:rsid w:val="00CF1C4D"/>
    <w:rsid w:val="00CF79DD"/>
    <w:rsid w:val="00CF7A98"/>
    <w:rsid w:val="00D00A23"/>
    <w:rsid w:val="00D0281E"/>
    <w:rsid w:val="00D02CCB"/>
    <w:rsid w:val="00D03842"/>
    <w:rsid w:val="00D03F1E"/>
    <w:rsid w:val="00D059A6"/>
    <w:rsid w:val="00D0678C"/>
    <w:rsid w:val="00D076C9"/>
    <w:rsid w:val="00D112F3"/>
    <w:rsid w:val="00D120A7"/>
    <w:rsid w:val="00D160D3"/>
    <w:rsid w:val="00D2100D"/>
    <w:rsid w:val="00D23733"/>
    <w:rsid w:val="00D240CD"/>
    <w:rsid w:val="00D2703F"/>
    <w:rsid w:val="00D274BF"/>
    <w:rsid w:val="00D31B02"/>
    <w:rsid w:val="00D3372E"/>
    <w:rsid w:val="00D35832"/>
    <w:rsid w:val="00D372A1"/>
    <w:rsid w:val="00D4123E"/>
    <w:rsid w:val="00D4168E"/>
    <w:rsid w:val="00D41EE8"/>
    <w:rsid w:val="00D44446"/>
    <w:rsid w:val="00D45A8E"/>
    <w:rsid w:val="00D46888"/>
    <w:rsid w:val="00D50436"/>
    <w:rsid w:val="00D50A89"/>
    <w:rsid w:val="00D5450E"/>
    <w:rsid w:val="00D55194"/>
    <w:rsid w:val="00D60E39"/>
    <w:rsid w:val="00D63575"/>
    <w:rsid w:val="00D63CA3"/>
    <w:rsid w:val="00D63D41"/>
    <w:rsid w:val="00D63FF9"/>
    <w:rsid w:val="00D6609B"/>
    <w:rsid w:val="00D6736E"/>
    <w:rsid w:val="00D704FB"/>
    <w:rsid w:val="00D705CA"/>
    <w:rsid w:val="00D70765"/>
    <w:rsid w:val="00D71151"/>
    <w:rsid w:val="00D726F4"/>
    <w:rsid w:val="00D730E0"/>
    <w:rsid w:val="00D73542"/>
    <w:rsid w:val="00D74016"/>
    <w:rsid w:val="00D746CD"/>
    <w:rsid w:val="00D758DB"/>
    <w:rsid w:val="00D76D08"/>
    <w:rsid w:val="00D77EBA"/>
    <w:rsid w:val="00D8105C"/>
    <w:rsid w:val="00D83462"/>
    <w:rsid w:val="00D83A83"/>
    <w:rsid w:val="00D869B9"/>
    <w:rsid w:val="00D90EBC"/>
    <w:rsid w:val="00D9260F"/>
    <w:rsid w:val="00D9306E"/>
    <w:rsid w:val="00D93FEF"/>
    <w:rsid w:val="00D94D39"/>
    <w:rsid w:val="00D955F7"/>
    <w:rsid w:val="00D9720B"/>
    <w:rsid w:val="00DA0068"/>
    <w:rsid w:val="00DA17EC"/>
    <w:rsid w:val="00DA1DEC"/>
    <w:rsid w:val="00DA23D0"/>
    <w:rsid w:val="00DA2652"/>
    <w:rsid w:val="00DA2ABE"/>
    <w:rsid w:val="00DA2C43"/>
    <w:rsid w:val="00DA33AC"/>
    <w:rsid w:val="00DA3757"/>
    <w:rsid w:val="00DA6ECA"/>
    <w:rsid w:val="00DA6F44"/>
    <w:rsid w:val="00DB0FA9"/>
    <w:rsid w:val="00DB2845"/>
    <w:rsid w:val="00DB2A6E"/>
    <w:rsid w:val="00DB33F2"/>
    <w:rsid w:val="00DB4027"/>
    <w:rsid w:val="00DB54CF"/>
    <w:rsid w:val="00DB62CF"/>
    <w:rsid w:val="00DB78A5"/>
    <w:rsid w:val="00DC0454"/>
    <w:rsid w:val="00DC2E07"/>
    <w:rsid w:val="00DC4872"/>
    <w:rsid w:val="00DC50A9"/>
    <w:rsid w:val="00DD0FE0"/>
    <w:rsid w:val="00DD11F6"/>
    <w:rsid w:val="00DD34BC"/>
    <w:rsid w:val="00DD3FB6"/>
    <w:rsid w:val="00DD5EB0"/>
    <w:rsid w:val="00DE01EA"/>
    <w:rsid w:val="00DE1603"/>
    <w:rsid w:val="00DE364B"/>
    <w:rsid w:val="00DE365C"/>
    <w:rsid w:val="00DE7163"/>
    <w:rsid w:val="00DE785C"/>
    <w:rsid w:val="00DF48CA"/>
    <w:rsid w:val="00DF5648"/>
    <w:rsid w:val="00DF5A5C"/>
    <w:rsid w:val="00E00973"/>
    <w:rsid w:val="00E01821"/>
    <w:rsid w:val="00E0214A"/>
    <w:rsid w:val="00E02F34"/>
    <w:rsid w:val="00E0380C"/>
    <w:rsid w:val="00E05608"/>
    <w:rsid w:val="00E065E3"/>
    <w:rsid w:val="00E069CD"/>
    <w:rsid w:val="00E104CA"/>
    <w:rsid w:val="00E11877"/>
    <w:rsid w:val="00E11EBF"/>
    <w:rsid w:val="00E127FB"/>
    <w:rsid w:val="00E156CD"/>
    <w:rsid w:val="00E17E42"/>
    <w:rsid w:val="00E20473"/>
    <w:rsid w:val="00E20B33"/>
    <w:rsid w:val="00E21193"/>
    <w:rsid w:val="00E2291D"/>
    <w:rsid w:val="00E234EF"/>
    <w:rsid w:val="00E24346"/>
    <w:rsid w:val="00E26B90"/>
    <w:rsid w:val="00E26C51"/>
    <w:rsid w:val="00E317CA"/>
    <w:rsid w:val="00E32BD5"/>
    <w:rsid w:val="00E34F00"/>
    <w:rsid w:val="00E40CCB"/>
    <w:rsid w:val="00E418CA"/>
    <w:rsid w:val="00E41AF8"/>
    <w:rsid w:val="00E4257D"/>
    <w:rsid w:val="00E45972"/>
    <w:rsid w:val="00E47A7D"/>
    <w:rsid w:val="00E5298D"/>
    <w:rsid w:val="00E52E99"/>
    <w:rsid w:val="00E559BD"/>
    <w:rsid w:val="00E61238"/>
    <w:rsid w:val="00E622A7"/>
    <w:rsid w:val="00E64834"/>
    <w:rsid w:val="00E67A2B"/>
    <w:rsid w:val="00E70268"/>
    <w:rsid w:val="00E72E53"/>
    <w:rsid w:val="00E7318C"/>
    <w:rsid w:val="00E73236"/>
    <w:rsid w:val="00E73DDA"/>
    <w:rsid w:val="00E7484D"/>
    <w:rsid w:val="00E77008"/>
    <w:rsid w:val="00E8036F"/>
    <w:rsid w:val="00E8279C"/>
    <w:rsid w:val="00E828D3"/>
    <w:rsid w:val="00E833B2"/>
    <w:rsid w:val="00E84047"/>
    <w:rsid w:val="00E86BCA"/>
    <w:rsid w:val="00E86C29"/>
    <w:rsid w:val="00E903FF"/>
    <w:rsid w:val="00E90826"/>
    <w:rsid w:val="00E908B4"/>
    <w:rsid w:val="00E90EAB"/>
    <w:rsid w:val="00E9362F"/>
    <w:rsid w:val="00E948D4"/>
    <w:rsid w:val="00E952D9"/>
    <w:rsid w:val="00E959AE"/>
    <w:rsid w:val="00E96E10"/>
    <w:rsid w:val="00E975BB"/>
    <w:rsid w:val="00EA5066"/>
    <w:rsid w:val="00EA63D8"/>
    <w:rsid w:val="00EA6C48"/>
    <w:rsid w:val="00EA6CC8"/>
    <w:rsid w:val="00EA72AB"/>
    <w:rsid w:val="00EB1FD3"/>
    <w:rsid w:val="00EB4F93"/>
    <w:rsid w:val="00EB730C"/>
    <w:rsid w:val="00EB74B0"/>
    <w:rsid w:val="00EC16C3"/>
    <w:rsid w:val="00EC36D8"/>
    <w:rsid w:val="00EC46A3"/>
    <w:rsid w:val="00EC4AF0"/>
    <w:rsid w:val="00EC4D84"/>
    <w:rsid w:val="00EC506B"/>
    <w:rsid w:val="00EC5194"/>
    <w:rsid w:val="00EC67AC"/>
    <w:rsid w:val="00ED18E5"/>
    <w:rsid w:val="00ED1E20"/>
    <w:rsid w:val="00ED46DF"/>
    <w:rsid w:val="00EE1623"/>
    <w:rsid w:val="00EE5A8F"/>
    <w:rsid w:val="00EE61F0"/>
    <w:rsid w:val="00EF0020"/>
    <w:rsid w:val="00EF3A9F"/>
    <w:rsid w:val="00EF5184"/>
    <w:rsid w:val="00EF63FC"/>
    <w:rsid w:val="00EF71E1"/>
    <w:rsid w:val="00EF79F2"/>
    <w:rsid w:val="00F00848"/>
    <w:rsid w:val="00F00C4C"/>
    <w:rsid w:val="00F0160E"/>
    <w:rsid w:val="00F01910"/>
    <w:rsid w:val="00F0267A"/>
    <w:rsid w:val="00F04473"/>
    <w:rsid w:val="00F051B9"/>
    <w:rsid w:val="00F0579D"/>
    <w:rsid w:val="00F059C0"/>
    <w:rsid w:val="00F06A48"/>
    <w:rsid w:val="00F06D04"/>
    <w:rsid w:val="00F06ED8"/>
    <w:rsid w:val="00F10AE5"/>
    <w:rsid w:val="00F10B6D"/>
    <w:rsid w:val="00F14115"/>
    <w:rsid w:val="00F1427A"/>
    <w:rsid w:val="00F14CFD"/>
    <w:rsid w:val="00F15696"/>
    <w:rsid w:val="00F17B94"/>
    <w:rsid w:val="00F205B5"/>
    <w:rsid w:val="00F21011"/>
    <w:rsid w:val="00F216A5"/>
    <w:rsid w:val="00F240C7"/>
    <w:rsid w:val="00F26045"/>
    <w:rsid w:val="00F27B65"/>
    <w:rsid w:val="00F27DE2"/>
    <w:rsid w:val="00F300B1"/>
    <w:rsid w:val="00F301EC"/>
    <w:rsid w:val="00F302F0"/>
    <w:rsid w:val="00F307B6"/>
    <w:rsid w:val="00F30875"/>
    <w:rsid w:val="00F3159F"/>
    <w:rsid w:val="00F34BCC"/>
    <w:rsid w:val="00F35215"/>
    <w:rsid w:val="00F3532D"/>
    <w:rsid w:val="00F35836"/>
    <w:rsid w:val="00F36A2B"/>
    <w:rsid w:val="00F37384"/>
    <w:rsid w:val="00F417D0"/>
    <w:rsid w:val="00F41EA0"/>
    <w:rsid w:val="00F43FBF"/>
    <w:rsid w:val="00F44F93"/>
    <w:rsid w:val="00F45F10"/>
    <w:rsid w:val="00F46A4D"/>
    <w:rsid w:val="00F46C2A"/>
    <w:rsid w:val="00F46E7E"/>
    <w:rsid w:val="00F50760"/>
    <w:rsid w:val="00F50B95"/>
    <w:rsid w:val="00F51DDB"/>
    <w:rsid w:val="00F53C4D"/>
    <w:rsid w:val="00F53C91"/>
    <w:rsid w:val="00F568D3"/>
    <w:rsid w:val="00F63580"/>
    <w:rsid w:val="00F6362D"/>
    <w:rsid w:val="00F63EDE"/>
    <w:rsid w:val="00F65F05"/>
    <w:rsid w:val="00F66F04"/>
    <w:rsid w:val="00F67CC0"/>
    <w:rsid w:val="00F72958"/>
    <w:rsid w:val="00F7370B"/>
    <w:rsid w:val="00F73844"/>
    <w:rsid w:val="00F751BB"/>
    <w:rsid w:val="00F767B9"/>
    <w:rsid w:val="00F768AA"/>
    <w:rsid w:val="00F772CE"/>
    <w:rsid w:val="00F813CA"/>
    <w:rsid w:val="00F84DAD"/>
    <w:rsid w:val="00F8578D"/>
    <w:rsid w:val="00F86806"/>
    <w:rsid w:val="00F87725"/>
    <w:rsid w:val="00F918B1"/>
    <w:rsid w:val="00F92729"/>
    <w:rsid w:val="00F94FD9"/>
    <w:rsid w:val="00F950E8"/>
    <w:rsid w:val="00FA4000"/>
    <w:rsid w:val="00FB1D64"/>
    <w:rsid w:val="00FB3EAC"/>
    <w:rsid w:val="00FB6327"/>
    <w:rsid w:val="00FC054D"/>
    <w:rsid w:val="00FC1266"/>
    <w:rsid w:val="00FC695E"/>
    <w:rsid w:val="00FD0154"/>
    <w:rsid w:val="00FD1DB5"/>
    <w:rsid w:val="00FD4029"/>
    <w:rsid w:val="00FD5EB3"/>
    <w:rsid w:val="00FD6CAB"/>
    <w:rsid w:val="00FD7E6B"/>
    <w:rsid w:val="00FE461D"/>
    <w:rsid w:val="00FE6582"/>
    <w:rsid w:val="00FE73EB"/>
    <w:rsid w:val="00FE743D"/>
    <w:rsid w:val="00FF0604"/>
    <w:rsid w:val="00FF175A"/>
    <w:rsid w:val="00FF294E"/>
    <w:rsid w:val="00FF2E3E"/>
    <w:rsid w:val="00FF2E48"/>
    <w:rsid w:val="00FF4140"/>
    <w:rsid w:val="00FF51F0"/>
    <w:rsid w:val="00FF54B7"/>
    <w:rsid w:val="00FF579D"/>
    <w:rsid w:val="00FF6112"/>
    <w:rsid w:val="00FF7267"/>
    <w:rsid w:val="01325A8F"/>
    <w:rsid w:val="05A131E3"/>
    <w:rsid w:val="071D2FD1"/>
    <w:rsid w:val="07B8614D"/>
    <w:rsid w:val="08C0150A"/>
    <w:rsid w:val="09C4599B"/>
    <w:rsid w:val="0F8044A9"/>
    <w:rsid w:val="117417AC"/>
    <w:rsid w:val="123D0DC4"/>
    <w:rsid w:val="13C0517C"/>
    <w:rsid w:val="16130AB6"/>
    <w:rsid w:val="168A4DCF"/>
    <w:rsid w:val="18F41B50"/>
    <w:rsid w:val="1AFC5B1B"/>
    <w:rsid w:val="1E3F3FDA"/>
    <w:rsid w:val="1FDD4AC9"/>
    <w:rsid w:val="23D60789"/>
    <w:rsid w:val="248A3369"/>
    <w:rsid w:val="24C148B0"/>
    <w:rsid w:val="2E975000"/>
    <w:rsid w:val="2F292477"/>
    <w:rsid w:val="2F875CEF"/>
    <w:rsid w:val="30B00CFF"/>
    <w:rsid w:val="3211608F"/>
    <w:rsid w:val="39730E7A"/>
    <w:rsid w:val="449B0822"/>
    <w:rsid w:val="479B1249"/>
    <w:rsid w:val="4A5F1565"/>
    <w:rsid w:val="4EF851EF"/>
    <w:rsid w:val="56833C47"/>
    <w:rsid w:val="575D1234"/>
    <w:rsid w:val="5F5521EA"/>
    <w:rsid w:val="5F6B0D4D"/>
    <w:rsid w:val="5F9627E0"/>
    <w:rsid w:val="5FEF236F"/>
    <w:rsid w:val="62FF5363"/>
    <w:rsid w:val="63460A28"/>
    <w:rsid w:val="639E71F5"/>
    <w:rsid w:val="657418AF"/>
    <w:rsid w:val="6CF94F7C"/>
    <w:rsid w:val="6D260D22"/>
    <w:rsid w:val="6DB6785C"/>
    <w:rsid w:val="6DF70EF2"/>
    <w:rsid w:val="754F3987"/>
    <w:rsid w:val="78063FD5"/>
    <w:rsid w:val="782C7B34"/>
    <w:rsid w:val="78E33CB6"/>
    <w:rsid w:val="7A6B3431"/>
    <w:rsid w:val="7B7759E7"/>
    <w:rsid w:val="7BFE30AF"/>
    <w:rsid w:val="7E3D8C67"/>
    <w:rsid w:val="7FFED2CF"/>
    <w:rsid w:val="9DE48CBD"/>
    <w:rsid w:val="BFED2B67"/>
    <w:rsid w:val="BFFCF674"/>
    <w:rsid w:val="BFFFF9D3"/>
    <w:rsid w:val="E5DC1090"/>
    <w:rsid w:val="F66E5AFC"/>
    <w:rsid w:val="FFAFD014"/>
    <w:rsid w:val="FFFE1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uiPriority w:val="99"/>
    <w:rPr>
      <w:rFonts w:ascii="Calibri" w:hAnsi="Calibri" w:eastAsia="宋体" w:cs="Times New Roman"/>
      <w:sz w:val="18"/>
      <w:szCs w:val="18"/>
    </w:rPr>
  </w:style>
  <w:style w:type="character" w:customStyle="1" w:styleId="10">
    <w:name w:val="页眉 Char"/>
    <w:basedOn w:val="8"/>
    <w:link w:val="4"/>
    <w:qFormat/>
    <w:uiPriority w:val="99"/>
    <w:rPr>
      <w:rFonts w:ascii="Calibri" w:hAnsi="Calibri" w:eastAsia="宋体" w:cs="Times New Roman"/>
      <w:sz w:val="18"/>
      <w:szCs w:val="18"/>
    </w:rPr>
  </w:style>
  <w:style w:type="character" w:customStyle="1" w:styleId="11">
    <w:name w:val="页脚 Char"/>
    <w:basedOn w:val="8"/>
    <w:link w:val="3"/>
    <w:qFormat/>
    <w:uiPriority w:val="99"/>
    <w:rPr>
      <w:rFonts w:ascii="Calibri" w:hAnsi="Calibri" w:eastAsia="宋体" w:cs="Times New Roman"/>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23</Pages>
  <Words>10101</Words>
  <Characters>11045</Characters>
  <Lines>73</Lines>
  <Paragraphs>20</Paragraphs>
  <TotalTime>12</TotalTime>
  <ScaleCrop>false</ScaleCrop>
  <LinksUpToDate>false</LinksUpToDate>
  <CharactersWithSpaces>11091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2021-01-29T07:29:00Z</dcterms:created>
  <dc:creator>夏敬周</dc:creator>
  <cp:lastModifiedBy>废柴阿水</cp:lastModifiedBy>
  <cp:lastPrinted>2023-01-13T03:00:00Z</cp:lastPrinted>
  <dcterms:modified xsi:type="dcterms:W3CDTF">2023-07-24T01:10:23Z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27125896736E483AB88C92A699E5B4AC_13</vt:lpwstr>
  </property>
</Properties>
</file>